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1" w:name="_GoBack"/>
      <w:bookmarkEnd w:id="1"/>
      <w:bookmarkStart w:id="0" w:name="_Toc54624401"/>
      <w:r>
        <w:rPr>
          <w:rFonts w:hint="eastAsia" w:ascii="方正小标宋简体" w:eastAsia="方正小标宋简体"/>
          <w:sz w:val="44"/>
          <w:szCs w:val="44"/>
        </w:rPr>
        <w:t>软件工程学院本科生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综合素质测评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实施</w:t>
      </w:r>
      <w:bookmarkEnd w:id="0"/>
      <w:r>
        <w:rPr>
          <w:rFonts w:hint="eastAsia" w:ascii="方正小标宋简体" w:eastAsia="方正小标宋简体"/>
          <w:sz w:val="44"/>
          <w:szCs w:val="44"/>
        </w:rPr>
        <w:t>方案</w:t>
      </w:r>
    </w:p>
    <w:p>
      <w:pPr>
        <w:widowControl/>
        <w:adjustRightInd w:val="0"/>
        <w:snapToGrid w:val="0"/>
        <w:spacing w:after="100" w:afterAutospacing="1" w:line="240" w:lineRule="atLeast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 xml:space="preserve">                               </w:t>
      </w:r>
    </w:p>
    <w:p>
      <w:pPr>
        <w:pStyle w:val="3"/>
        <w:jc w:val="center"/>
      </w:pPr>
      <w:r>
        <w:rPr>
          <w:rFonts w:hint="eastAsia"/>
        </w:rPr>
        <w:t>第一章  总则</w:t>
      </w:r>
    </w:p>
    <w:p>
      <w:pPr>
        <w:pStyle w:val="7"/>
        <w:spacing w:after="0" w:line="540" w:lineRule="exact"/>
        <w:ind w:left="0" w:leftChars="0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一、为贯彻党的教育方针，落实立德树人根本任务，引导学生“学在中大、追求卓越”，进一步规范我院本科生奖学金的评选，激励学生奋发学习、努力进取，促进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eastAsia="仿宋_GB2312"/>
          <w:sz w:val="28"/>
          <w:szCs w:val="28"/>
        </w:rPr>
        <w:t>德智体美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劳</w:t>
      </w:r>
      <w:r>
        <w:rPr>
          <w:rFonts w:hint="eastAsia" w:ascii="仿宋_GB2312" w:eastAsia="仿宋_GB2312"/>
          <w:sz w:val="28"/>
          <w:szCs w:val="28"/>
        </w:rPr>
        <w:t>全面发展，根据《中山大学本科生奖学金管理办法》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等相关规定</w:t>
      </w:r>
      <w:r>
        <w:rPr>
          <w:rFonts w:hint="eastAsia" w:ascii="仿宋_GB2312" w:eastAsia="仿宋_GB2312"/>
          <w:sz w:val="28"/>
          <w:szCs w:val="28"/>
        </w:rPr>
        <w:t>，结合我院实际情况，制定本方案。</w:t>
      </w:r>
    </w:p>
    <w:p>
      <w:pPr>
        <w:pStyle w:val="7"/>
        <w:spacing w:after="0" w:line="540" w:lineRule="exact"/>
        <w:ind w:left="0" w:leftChars="0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二、学生</w:t>
      </w:r>
      <w:r>
        <w:rPr>
          <w:rFonts w:hint="eastAsia" w:ascii="仿宋_GB2312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eastAsia="仿宋_GB2312"/>
          <w:sz w:val="28"/>
          <w:szCs w:val="28"/>
        </w:rPr>
        <w:t>工作应当坚持程序规范、内容全面、标准客观、结果公正的要求。</w:t>
      </w:r>
    </w:p>
    <w:p>
      <w:pPr>
        <w:pStyle w:val="7"/>
        <w:spacing w:after="0" w:line="540" w:lineRule="exact"/>
        <w:ind w:left="0" w:leftChars="0" w:firstLine="560" w:firstLineChars="200"/>
        <w:rPr>
          <w:rFonts w:hint="default" w:ascii="仿宋_GB2312" w:hAnsi="宋体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三、本方案适用于在校全日制本科生。</w:t>
      </w:r>
    </w:p>
    <w:p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四、本方案的宗旨，是鼓励学生在加强专业学习的基础上，根据自身特点多方位发展。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五、以专业或方向为单位组织实施。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按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总成绩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的排名作为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本科生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奖学金评定的依据。</w:t>
      </w:r>
    </w:p>
    <w:p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六、学生每年的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成绩由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学业平均绩点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和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两部分构成：</w:t>
      </w:r>
    </w:p>
    <w:p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（一）学业平均绩点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以“学生工作管理系统”中学生评奖信息显示为准。</w:t>
      </w:r>
    </w:p>
    <w:p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（二）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综合素质测评附加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分绩点计算方法为：</w:t>
      </w:r>
    </w:p>
    <w:p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附加分包括加分和扣分两大类别，其中加分分为四个项目，分别为政治思想道德类（上限为3分）、社会工作类（上限为3分）、文体实践类（上限为4分）、学习竞赛及科研成果类（上限为6分）。</w:t>
      </w:r>
      <w:r>
        <w:rPr>
          <w:rFonts w:hint="eastAsia" w:ascii="仿宋_GB2312" w:hAnsi="宋体" w:eastAsia="仿宋_GB2312"/>
          <w:sz w:val="28"/>
          <w:szCs w:val="28"/>
        </w:rPr>
        <w:t>具体加分和扣分项目见本方案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第三章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widowControl/>
        <w:tabs>
          <w:tab w:val="left" w:pos="720"/>
        </w:tabs>
        <w:adjustRightInd w:val="0"/>
        <w:snapToGrid w:val="0"/>
        <w:spacing w:line="540" w:lineRule="exact"/>
        <w:ind w:firstLine="562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b/>
          <w:sz w:val="28"/>
          <w:szCs w:val="28"/>
        </w:rPr>
        <w:t>附加分</w:t>
      </w:r>
      <w:r>
        <w:rPr>
          <w:rFonts w:hint="eastAsia" w:ascii="仿宋_GB2312" w:hAnsi="宋体" w:eastAsia="仿宋_GB2312"/>
          <w:sz w:val="28"/>
          <w:szCs w:val="28"/>
        </w:rPr>
        <w:t xml:space="preserve"> = 加分总分 - 扣分总分。</w:t>
      </w:r>
    </w:p>
    <w:p>
      <w:pPr>
        <w:widowControl/>
        <w:tabs>
          <w:tab w:val="left" w:pos="720"/>
        </w:tabs>
        <w:adjustRightInd w:val="0"/>
        <w:snapToGrid w:val="0"/>
        <w:spacing w:line="540" w:lineRule="exact"/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 xml:space="preserve">附加分绩点 = </w:t>
      </w:r>
      <w:r>
        <w:rPr>
          <w:rFonts w:hint="eastAsia" w:ascii="仿宋_GB2312" w:hAnsi="宋体" w:eastAsia="仿宋_GB2312"/>
          <w:b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b/>
          <w:sz w:val="28"/>
          <w:szCs w:val="28"/>
        </w:rPr>
        <w:t>附加分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×</w:t>
      </w:r>
      <w:r>
        <w:rPr>
          <w:rFonts w:hint="eastAsia" w:ascii="仿宋_GB2312" w:hAnsi="宋体" w:eastAsia="仿宋_GB2312"/>
          <w:b/>
          <w:sz w:val="28"/>
          <w:szCs w:val="28"/>
        </w:rPr>
        <w:t>10%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（三）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成绩 = 学业平均绩点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以评奖系统显示为准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 xml:space="preserve"> +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附加分绩点（保留小数点后四位）。</w:t>
      </w:r>
    </w:p>
    <w:p>
      <w:pPr>
        <w:spacing w:line="54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注：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根据学校要求，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附加分绩点不能超过本人学业平均绩点的20%。（如有超过者，其本人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附加分绩点按学业平均绩点的20%计）。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（四）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附加分标准见第三章细则，</w:t>
      </w:r>
      <w:r>
        <w:rPr>
          <w:rFonts w:hint="eastAsia" w:ascii="仿宋_GB2312" w:hAnsi="宋体" w:eastAsia="仿宋_GB2312"/>
          <w:sz w:val="28"/>
          <w:szCs w:val="28"/>
        </w:rPr>
        <w:t>严格按照细则加分，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一个项目只能对应一项加分。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若有本方案未穷尽的项目，可通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过各年级各班提交给学院学工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审核，审核通过后按相似加分条件或新增项目加分。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（五）加分项目的有效时间区间，原则上以学校校历公布的学年时间为准，如有特殊情况（如实训等跨学年度的项目），由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学院学工组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讨论确认归属学年。</w:t>
      </w:r>
    </w:p>
    <w:p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七、在评选中山大学优秀学生奖学金时，学业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平均绩点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及排名因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加分导致综合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素质测评总成绩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排名上升的，最多只能提升一个等级；当学年内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学业平均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绩点在该年级排名可获评一等奖时，拟获评等级最低为二等奖，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可获评二等奖时，拟获评等级最低为三等奖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。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八、在符合参评本科生奖学金资格的条件下，根据学院最终公示的综合素质测评总成绩排名，当学生该学年必修课程所修读学分低于培养方案规定（港澳台生除去免修课程学分）的80%时，拟获评中山大学优秀学生奖学金等级作降一级处理，综合素质测评总成绩排名同步下调，如拟获评中山大学优秀学生奖学金二等奖，则降级为三等奖。</w:t>
      </w:r>
    </w:p>
    <w:p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九</w:t>
      </w:r>
      <w:r>
        <w:rPr>
          <w:rFonts w:hint="eastAsia" w:ascii="仿宋_GB2312" w:hAnsi="宋体" w:eastAsia="仿宋_GB2312"/>
          <w:sz w:val="28"/>
          <w:szCs w:val="28"/>
        </w:rPr>
        <w:t>、每名学生原则上只能获得一项奖学金（不包含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中山大学</w:t>
      </w:r>
      <w:r>
        <w:rPr>
          <w:rFonts w:hint="eastAsia" w:ascii="仿宋_GB2312" w:hAnsi="宋体" w:eastAsia="仿宋_GB2312"/>
          <w:sz w:val="28"/>
          <w:szCs w:val="28"/>
        </w:rPr>
        <w:t>优秀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奖学金和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中山大学专</w:t>
      </w:r>
      <w:r>
        <w:rPr>
          <w:rFonts w:hint="eastAsia" w:ascii="仿宋_GB2312" w:hAnsi="宋体" w:eastAsia="仿宋_GB2312"/>
          <w:sz w:val="28"/>
          <w:szCs w:val="28"/>
        </w:rPr>
        <w:t>项奖学金）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>
      <w:pPr>
        <w:spacing w:line="540" w:lineRule="exact"/>
        <w:ind w:left="0" w:leftChars="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十、学年内所获公益时（志愿时）≥10个（需经班级</w:t>
      </w:r>
      <w:r>
        <w:rPr>
          <w:rFonts w:hint="eastAsia" w:ascii="仿宋_GB2312" w:hAnsi="宋体" w:eastAsia="仿宋_GB2312"/>
          <w:sz w:val="28"/>
          <w:szCs w:val="28"/>
        </w:rPr>
        <w:t>奖学金评审小组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学院学工组审核通过），方可参与该学年奖学金评定。</w:t>
      </w:r>
    </w:p>
    <w:p>
      <w:pPr>
        <w:pStyle w:val="3"/>
        <w:spacing w:before="540"/>
        <w:jc w:val="center"/>
      </w:pPr>
      <w:r>
        <w:rPr>
          <w:rFonts w:hint="eastAsia"/>
        </w:rPr>
        <w:t>第二章  评审机构及程序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一、执行机构及职责：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学院设立学生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与奖学金评审工作领导小组，成员包括学院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管学生工作的党委副书记、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管教学工作的副院长及院长助理、辅导员、班主任和学生代表等，负责本科生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与奖学金评审工作的领导与监督。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为学院评审工作的具体执行机构。如要修订评审规则和实施办法，应提交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学院党政联席会审议</w:t>
      </w:r>
      <w:r>
        <w:rPr>
          <w:rFonts w:hint="eastAsia" w:ascii="仿宋_GB2312" w:hAnsi="宋体" w:eastAsia="仿宋_GB2312"/>
          <w:sz w:val="28"/>
          <w:szCs w:val="28"/>
        </w:rPr>
        <w:t>通过。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各专业班（以下简称班）应成立班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小组，执行测评和奖学金的评审工作，具体负责发布通知、审核验证附加分证明、组织测评计分及根据测评结果评选奖学金等级等事宜。小组成员一般设7人(班级人数少于30的，小组成员为5人)，其中党支部书记（党小组成员）、班长、团支书、学习委员为当然成员，其余人选则由各班民主推选产生，其中应有非班干部和学生党员。班长为组长，负责组织各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各项事宜。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二、评审程序：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（一）各班在收到进行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通知后成立班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与奖学金评审小组，向同学广泛宣传并组织实施测评工作。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（二）各班评审小组收集、统计、审核各班成员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</w:t>
      </w:r>
      <w:r>
        <w:rPr>
          <w:rFonts w:hint="eastAsia" w:ascii="仿宋_GB2312" w:hAnsi="宋体" w:eastAsia="仿宋_GB2312"/>
          <w:sz w:val="28"/>
          <w:szCs w:val="28"/>
        </w:rPr>
        <w:t>加分项目和最后分值。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（三）各班评审小组将统计结果在全班公示3日，然后提交给负责的辅导员。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（四）辅导员进行审核后，将评审结果提交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进行审核，并将审核结果公示。</w:t>
      </w:r>
    </w:p>
    <w:p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（六）公示后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将测评结果反馈给各班作为奖助学金的评选依据。</w:t>
      </w:r>
    </w:p>
    <w:p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三、申诉与复议程序：当事人向该班评审小组提出复议申请，经核实确实存在差错的，附上审核小组的审核意见，交学院学工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审议后，送达该班奖学金评审小组。</w:t>
      </w:r>
    </w:p>
    <w:p>
      <w:pPr>
        <w:pStyle w:val="3"/>
        <w:spacing w:before="540" w:line="360" w:lineRule="auto"/>
        <w:jc w:val="center"/>
      </w:pPr>
      <w:r>
        <w:rPr>
          <w:rFonts w:hint="eastAsia"/>
        </w:rPr>
        <w:t>第三章     细则</w:t>
      </w:r>
    </w:p>
    <w:p>
      <w:pPr>
        <w:pStyle w:val="4"/>
        <w:spacing w:line="360" w:lineRule="auto"/>
      </w:pPr>
      <w:r>
        <w:rPr>
          <w:rFonts w:hint="eastAsia"/>
        </w:rPr>
        <w:t>第一部分    加分细则</w:t>
      </w:r>
    </w:p>
    <w:p>
      <w:pPr>
        <w:pStyle w:val="5"/>
      </w:pPr>
      <w:r>
        <w:rPr>
          <w:rFonts w:hint="eastAsia"/>
        </w:rPr>
        <w:t>一、政治思想道德类（上限3分）</w:t>
      </w:r>
    </w:p>
    <w:tbl>
      <w:tblPr>
        <w:tblStyle w:val="1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846"/>
        <w:gridCol w:w="1276"/>
        <w:gridCol w:w="6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94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2876" w:firstLineChars="1364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加分条件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1.5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全国三好学生、国家级优秀学生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 w:cs="宋体"/>
                <w:kern w:val="0"/>
                <w:szCs w:val="21"/>
              </w:rPr>
              <w:t>、团干部和团员、全国先进集体主要负责人（班委或团支委）。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1.0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全国先进集体一般成员、省级先进集体主要负责人（班委或团支委）、省级优秀学生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 w:cs="宋体"/>
                <w:kern w:val="0"/>
                <w:szCs w:val="21"/>
              </w:rPr>
              <w:t>、团干部、优秀学生和团员。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1.8-0.9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见义勇为受到有关部门表彰者。机构级别分别为全国(1.8)，省（1.5）、市（1.3）、校（1.1）、院系(0.9)。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1.2-0.3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做社会公益、好人好事受到表彰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者。机构级别分别为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国家（1.2）、省(1.0)、市(0.6)、校（0.4）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院系（0.3）。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21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0.8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省级先进集体一般成员、校级优良学风标兵班（正班长、团支书）、校级最佳党日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/团日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活动支部主要负责人（支书）。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21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-0.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校级马研班、青马班获评优秀学员（0</w:t>
            </w:r>
            <w:r>
              <w:rPr>
                <w:rFonts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.8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），参与并结业学员（0</w:t>
            </w:r>
            <w:r>
              <w:rPr>
                <w:rFonts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.5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362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0.6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标兵班其他负责人（班团委成员）、校级优良学风班主要负责人（正班长、团支书）、校级红旗团支部主要负责人（正班长、团支书）、校级优秀党支部主要负责人（支书）、校级先进团委或先进学生会主席团成员、校级最佳党日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/团日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活动支部次要负责人（支委）、校级其他先进集体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主要负责人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先进社团主要负责人（社团第一负责人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或会长团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65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0.6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校级优秀党员、优秀学生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、优秀团干部、优秀社团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54" w:hRule="atLeast"/>
        </w:trPr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0.4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校级优良学风标兵班一般成员、校级优秀团员、校级优良学风班其他负责人（班团委成员）、校级红旗团支部其他负责人（班团委成员）、校级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优秀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党支部次要负责人（支委）、校级先进团委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先进学生会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其他负责人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校级其他先进集体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次要负责人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校级先进社团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学院其他优秀团队主要负责人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如工程实训优秀小组组长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、院级优秀党员、学生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骨干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、团干部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0.3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校级优良学风班一般成员、校级红旗团支部一般成员、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校级优秀党支部一般成员、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校级其他先进集体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一般成员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校级先进社团一般成员（工作人员）、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校级军训之星、优秀副排长、优秀通讯员、优秀战地记者、勤工助学先进个人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院级其他优秀团队一般成员、院级其他先进个人奖（如：院优秀团员、院优秀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朋辈领航员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、院优秀志愿者等）。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0.2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校级文明宿舍成员。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0.1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义务献血者（一年只能加一次）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0.005-0.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75</w:t>
            </w:r>
          </w:p>
        </w:tc>
        <w:tc>
          <w:tcPr>
            <w:tcW w:w="6095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公益类活动（按公益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志愿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服务时长计算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，每1小时加0.005分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，最多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0.75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6095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凡获以上优秀个人称号的党团学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不同类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之间可以累加，党团学的同类奖项之间不累加，只取最高分。如获得校级优秀团干、院级优秀学生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可以累加；校级优秀团员、院级优秀团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不可累加。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凡获以上先进团体的负责人或成员，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党团学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不同类奖项分数可累加；获得不同级别的同类奖项不累加，只记最高分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如校级优良学风班主要负责人、院级优良学风班主要负责不可累加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3、个人奖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ascii="宋体" w:hAnsi="宋体"/>
                <w:szCs w:val="21"/>
              </w:rPr>
              <w:t>集体奖及公益类的加分可以累加。</w:t>
            </w:r>
          </w:p>
          <w:p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4、社会公益类必须提供相应证书或奖状，认定办法见附则。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5、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本项加分上限为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3分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，累计3分以上按3分计算。</w:t>
            </w:r>
          </w:p>
          <w:p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6、学生</w:t>
            </w:r>
            <w:r>
              <w:rPr>
                <w:rFonts w:hint="eastAsia" w:ascii="宋体" w:hAnsi="宋体"/>
                <w:szCs w:val="21"/>
                <w:lang w:eastAsia="zh-CN"/>
              </w:rPr>
              <w:t>骨干</w:t>
            </w:r>
            <w:r>
              <w:rPr>
                <w:rFonts w:ascii="宋体" w:hAnsi="宋体"/>
                <w:szCs w:val="21"/>
              </w:rPr>
              <w:t>和工作人员职责范围内的工作，不算公益服务，不计入公益时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志愿时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ascii="宋体" w:hAnsi="宋体"/>
                <w:szCs w:val="21"/>
              </w:rPr>
              <w:t>计算。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7、本项内容的审核认定，除团体荣誉加分工作由各班团支书负责以外，其它均由各班班长负责。</w:t>
            </w:r>
          </w:p>
        </w:tc>
      </w:tr>
    </w:tbl>
    <w:p>
      <w:pPr>
        <w:pStyle w:val="5"/>
      </w:pPr>
      <w:r>
        <w:rPr>
          <w:rFonts w:hint="eastAsia"/>
        </w:rPr>
        <w:t>二、社会工作类（上限为3分）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00"/>
        <w:gridCol w:w="1222"/>
        <w:gridCol w:w="6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31" w:hRule="atLeast"/>
        </w:trPr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加分条件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院团委副书记。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2.5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主席团成员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院学生会主席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团成员、院党支部书记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2.0</w:t>
            </w:r>
          </w:p>
        </w:tc>
        <w:tc>
          <w:tcPr>
            <w:tcW w:w="6174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部门主要负责人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部门主要负责人、院</w:t>
            </w:r>
            <w:r>
              <w:rPr>
                <w:rFonts w:hint="eastAsia" w:ascii="宋体" w:hAnsi="宋体" w:cs="宋体"/>
                <w:kern w:val="0"/>
                <w:szCs w:val="21"/>
              </w:rPr>
              <w:t>党支部委员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55" w:hRule="atLeast"/>
        </w:trPr>
        <w:tc>
          <w:tcPr>
            <w:tcW w:w="9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1.5</w:t>
            </w:r>
          </w:p>
        </w:tc>
        <w:tc>
          <w:tcPr>
            <w:tcW w:w="6174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部门第二负责人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社团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/学院分管社团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第一负责人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或社长团成员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、班长、团支书。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1.0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学院分管社团的部门主要负责人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0.6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、学院党、团、学组织中的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学院分管社团的工作人员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highlight w:val="none"/>
              </w:rPr>
              <w:t>班委委员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院队队长/教练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新生朋辈领航员、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宿舍舍长。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17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1、原则上学生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/>
                <w:szCs w:val="21"/>
              </w:rPr>
              <w:t>必须任期一届届满方可加分，如有特殊情况，中断任职，且任期过半，经申请同意方可加分。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2、校、院、班各级学生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/>
                <w:szCs w:val="21"/>
              </w:rPr>
              <w:t>在年度总结中须经各组织内部考评，报上一级组织审核，确认称职的予以加分，不称职的不予以加分。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3、兼任多项社会工作者，任职累加最多为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项，其中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第二项</w:t>
            </w:r>
            <w:r>
              <w:rPr>
                <w:rFonts w:hint="eastAsia" w:ascii="宋体" w:hAnsi="宋体"/>
                <w:szCs w:val="21"/>
              </w:rPr>
              <w:t>加分减半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第三项加分按25%计算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、如遇本表列举之外的其他社会工作，由学院负责认定和解释。</w:t>
            </w:r>
          </w:p>
          <w:p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、本项内容的审核认定，除团干部加分由各班团支书负责以外，其他均由各班班长负责。</w:t>
            </w:r>
          </w:p>
        </w:tc>
      </w:tr>
    </w:tbl>
    <w:p>
      <w:pPr>
        <w:pStyle w:val="5"/>
      </w:pPr>
      <w:r>
        <w:rPr>
          <w:rFonts w:hint="eastAsia"/>
        </w:rPr>
        <w:t>三、文体、实践类（上限为4分）</w:t>
      </w:r>
    </w:p>
    <w:tbl>
      <w:tblPr>
        <w:tblStyle w:val="12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93"/>
        <w:gridCol w:w="1129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分值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加分条件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3.5-2.0</w:t>
            </w:r>
          </w:p>
        </w:tc>
        <w:tc>
          <w:tcPr>
            <w:tcW w:w="6237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获国际级体育比赛第1—8名分别为3.5、3.2、3.0、2.8、2.6、2.4、2.2、2.0分；在国际级文艺演出（文娱类比赛）获得1－3等奖的演员分别为3.5、3.0、2.5分。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1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0.8</w:t>
            </w:r>
          </w:p>
        </w:tc>
        <w:tc>
          <w:tcPr>
            <w:tcW w:w="6237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国家级体育比赛第1-8名分别为3.0、2.7、2.5、2.3、2.1、1.9、1.7、1.5分；在国家级文艺演出（文娱类比赛）获得1－3等奖的演员分别为：3.0、2.5、2.0分；国家级社会实践或社会调查先进个人3.0；国家级非专业论文评比或征文比赛 1-3等奖及优秀奖，第一作者分别加3.0、2.5、2.0、1.2分，非第一作者分别加1.8、1.5、1.2、0.8分。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1.2-0.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省市级体育比赛第1-8名分别为1.2、1.1、1.0、0.9、0.8、0.7、0.6、0.5分,在省市级文艺演出（文娱类比赛）获得1－3等奖的演员分别为：1.2、0.9、0.6分；省市级社会实践或社会调查先进个人1.2；省市级非专业论文评比或征文比赛 1-3等奖及优秀奖，第一作者分别加1.2、1.0、0.8、0.5分，非第一作者分别加0.7、0.6、0.5、0.3分。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0.8-0.1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获校级体育比赛第1-8名分别为0.8、0.7、0.6、0.5、0.4、0.3、0.2、0.1分；获全校文艺汇演（文娱类比赛）1－3等奖的演员分别为：0.8、0.6、0.4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参加全国文艺演出获优秀奖或演出没有设立奖项的演员为0.4分；校级社会实践或社会调查先进个人0.5；校级非专业论文评比或征文比赛 1-3等奖及优秀奖，第一作者分别加0.8、0.7、0.6、0.3分，非第一作者分别加0.5、0.4、0.3、0.2分。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0.6-0.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05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获校区级体育比赛第1-8名分别为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0.6、0.5、0.4、0.3、0.2、0.1、0.05、0.05分；获校区类文艺演出（文娱类比赛）1－3等奖的演员为：0.6、0.5、0.4；参加省市级文艺演出获优秀奖或演出没有设立奖项的演员为0.3分。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获院级体育比赛第1-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名分别为0.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；获学院文艺演出（文娱类比赛）1－3等奖的演员分别为0.4、0.3、0.2；参加全校级（校区级）文艺演出获得优秀奖或演出没有设立奖项的演员为0.1分；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校区级或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院级社会实践或社会调查先进个人0.3；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校区级或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院级非专业论文评比或征文比赛 1-3等奖及优秀奖，第一作者分别加0.6、0.5、0.4、0.2分，非第一作者分别加0.4、0.3、0.2、0.1分。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</w:t>
            </w:r>
          </w:p>
        </w:tc>
        <w:tc>
          <w:tcPr>
            <w:tcW w:w="11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0．05</w:t>
            </w:r>
          </w:p>
        </w:tc>
        <w:tc>
          <w:tcPr>
            <w:tcW w:w="6237" w:type="dxa"/>
            <w:vAlign w:val="center"/>
          </w:tcPr>
          <w:p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参加由学院组织或学院指定的集体活动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对学院有特殊贡献者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需经班级奖学金评审小组、学院学工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组认定</w:t>
            </w:r>
            <w:r>
              <w:rPr>
                <w:rFonts w:hint="eastAsia" w:ascii="宋体" w:hAnsi="宋体"/>
                <w:szCs w:val="21"/>
                <w:lang w:eastAsia="zh-CN"/>
              </w:rPr>
              <w:t>），</w:t>
            </w:r>
            <w:r>
              <w:rPr>
                <w:rFonts w:hint="eastAsia" w:ascii="宋体" w:hAnsi="宋体"/>
                <w:szCs w:val="21"/>
              </w:rPr>
              <w:t>如参加学校运动会方阵队伍者、参加学校组织的校庆歌唱大赛者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未获奖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、参加新生军训军歌大赛者（未获奖）、代表院系球队参加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校级逸仙杯</w:t>
            </w:r>
            <w:r>
              <w:rPr>
                <w:rFonts w:hint="eastAsia" w:ascii="宋体" w:hAnsi="宋体"/>
                <w:szCs w:val="21"/>
              </w:rPr>
              <w:t>比赛（未获奖）等，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不同活动可以叠加，但累计最高不可以超过0.5分。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tabs>
                <w:tab w:val="left" w:pos="797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1、所有获奖必须由主办单位提供书面有效证明。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2、所有体育文娱比赛均需为正式比赛；友谊赛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趣味赛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和由社团组织的文体比赛不列入加分范围。</w:t>
            </w:r>
          </w:p>
          <w:p>
            <w:pPr>
              <w:widowControl/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3、当参加体育、文娱、征文等比赛获奖的团队成员＞3人时，除团队负责人外（负责人≤3人），其他成员所获加分在对应分值基础上×70%，如作为团队一员参加校区级文娱类比赛获一等奖，加分为0.6×70%=0.42。</w:t>
            </w:r>
          </w:p>
          <w:p>
            <w:pPr>
              <w:widowControl/>
              <w:adjustRightInd w:val="0"/>
              <w:snapToGrid w:val="0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4、体育比赛、文娱比赛、实践活动、征文比赛等各类获奖，不同类计分分别可累加最多三项，累加公式：第一项加分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分分值×100％＋第二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项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加分分值×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7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0％＋第三项加分分值×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0％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某位学生学年内获校级体育比赛第一名（个人项目）、校区级体育比赛第一名（团队赛，非负责人）、院级体育比赛第一名（个人项目）、校级文娱比赛一等奖（团队赛，非负责人），则其加分为0.8×100%（体育类第一项）+0.6×70%×70%（体育类第二项）+0.4×50%（体育类第三项）+0.8×100%×70%（文娱类第一项团队奖）=1.854。</w:t>
            </w:r>
          </w:p>
          <w:p>
            <w:pPr>
              <w:widowControl/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、如果校队队员（如：辩论队队员）参加某项比赛获奖而享受了相应的学业成绩加分，则该项目不能列入加分范围。</w:t>
            </w:r>
          </w:p>
          <w:p>
            <w:pPr>
              <w:widowControl/>
              <w:adjustRightInd w:val="0"/>
              <w:snapToGrid w:val="0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6、如果参加同一项体育文娱比赛或同一项实践活动，同时有公益（志愿）服务时长及获奖，只记最高分，即要么按公益类活动时长加分，要么按比赛或活动获奖加分。</w:t>
            </w:r>
          </w:p>
          <w:p>
            <w:pPr>
              <w:tabs>
                <w:tab w:val="left" w:pos="6300"/>
                <w:tab w:val="left" w:pos="7920"/>
              </w:tabs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、如遇获比赛各单项奖励（非比赛名次及优秀奖）按照比赛等级及实际情况酌情加分，由学院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学工组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讨论决定。</w:t>
            </w:r>
          </w:p>
          <w:p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、本项加分上限为4分,累计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分以上按4分计算。</w:t>
            </w:r>
          </w:p>
          <w:p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、如遇本表列举之外的其他文体和实践成果，由学院负责认定和解释。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、本项内容的审核认定，由各班文娱委员和体育委员负责。</w:t>
            </w:r>
          </w:p>
        </w:tc>
      </w:tr>
    </w:tbl>
    <w:p>
      <w:pPr>
        <w:pStyle w:val="5"/>
      </w:pPr>
      <w:r>
        <w:rPr>
          <w:rFonts w:hint="eastAsia"/>
        </w:rPr>
        <w:t xml:space="preserve">四、学习、竞赛及科研成果(上限为6分) 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88"/>
        <w:gridCol w:w="1134"/>
        <w:gridCol w:w="6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加分条件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4.0-2.0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获国际级大学生学习、竞赛、科研成果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特等奖、</w:t>
            </w:r>
            <w:r>
              <w:rPr>
                <w:rFonts w:hint="eastAsia" w:ascii="宋体" w:hAnsi="宋体" w:cs="宋体"/>
                <w:kern w:val="0"/>
                <w:szCs w:val="21"/>
              </w:rPr>
              <w:t>一、二、三等奖分别为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4.5、</w:t>
            </w:r>
            <w:r>
              <w:rPr>
                <w:rFonts w:hint="eastAsia" w:ascii="宋体" w:hAnsi="宋体" w:cs="宋体"/>
                <w:kern w:val="0"/>
                <w:szCs w:val="21"/>
              </w:rPr>
              <w:t>4.0、3.5、3.0分，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获国际级大学生学习竞赛、科研成果优胜奖为2.0分。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3.0-1.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0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获国家级大学生学习竞赛、科研成果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特等奖、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一、二、三等奖分别为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3.5、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3.0、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2.5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、2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.0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分，获国家级大学生学习竞赛、科研成果优胜奖1.5。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1.5-0.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获省级大学生学习竞赛、科研成果第1-3等奖分别为1.5、1.2、1.0分,获省级大学生学习竞赛、科研成果优胜奖0.8分。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1.0-0.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获校级大学生学习竞赛、科研成果第1-3等奖分别为1.0、0.8、0.6分,获校级大学生学习竞赛、科研成果优胜奖0.5分。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0.8-0.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获院级大学生学习竞赛、科技竞赛、科研成果1-3等奖分别为0.8、0.6、0.4分，获院级大学生学习竞赛、科技竞赛优胜奖0.3分。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5.0-1.0</w:t>
            </w:r>
          </w:p>
        </w:tc>
        <w:tc>
          <w:tcPr>
            <w:tcW w:w="6174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CCF-A类论文(第一作者)加5.0分； CCF-B类论文（第一作者），CCF-A类论文(第二作者)加4.0分；CCF-C类或国内一级学报论文（第一作者）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CCF-B类论文(第二作者)加3.0分；CCF-C类或国内一级学报论文（第二作者）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中文核心学术期刊论文（第一作者）加1.0分；中文核心学术期刊论文（第二作者）加0.6分。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3.0-1.5</w:t>
            </w:r>
          </w:p>
        </w:tc>
        <w:tc>
          <w:tcPr>
            <w:tcW w:w="6174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著作(第一作者)3.0, 著作(第二作者)1.5。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4.0-0.5</w:t>
            </w:r>
          </w:p>
        </w:tc>
        <w:tc>
          <w:tcPr>
            <w:tcW w:w="6174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发明专利（第一作者）：申请1.0分，公开2.0分，授权4.0分。                       发明专利（第二作者）：申请0.5分，公开1.0分，授权2.0分。                       实用新型或外观专利（第一作者）：申请0.5分，公开1.0分，授权2.0分。            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软件版权（第一作者）：申请0.5分，公开1.0分，授权2.0分。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0.5-0.8</w:t>
            </w:r>
          </w:p>
        </w:tc>
        <w:tc>
          <w:tcPr>
            <w:tcW w:w="6174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参加CCF-CSP认证，成绩400-449分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或者成绩在前2%-前1%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的：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分。             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参加CCF-CSP认证，成绩450分及以上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或者成绩在前1%（含正好在前1%）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的：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174" w:type="dxa"/>
            <w:vAlign w:val="center"/>
          </w:tcPr>
          <w:p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1、本类别所指的学科竞赛及科研成果都是与本专业学习相关的；科研成果包括：科研论文、专利、科研作品。</w:t>
            </w:r>
          </w:p>
          <w:p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2、不同竞赛可累加计分，但不能超过3项；同一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竞赛的不同级别奖项只记最高分，不累加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如参加全国大学生职业规划大赛在校级和省级均有获奖，按省级进行加分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3、同一科研成果获不同奖，只记最高分，不累加；不同科研成果获奖或发表论文(文章)，可累加。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4、“著书”栏中所著书籍应已正式公开出版发行。</w:t>
            </w:r>
          </w:p>
          <w:p>
            <w:pPr>
              <w:widowControl/>
              <w:tabs>
                <w:tab w:val="left" w:pos="797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5、所有加分或参赛必须提供书面有效证明（专利证书、获奖证书、论文发表的录用通知和论文首页）。</w:t>
            </w:r>
          </w:p>
          <w:p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6、学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生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竞赛的级别由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学院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根据具体竞赛项目的实际情况而定，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主要学生竞赛类别和等级，参考附件“学生竞赛列表”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。未出现在列表里的学习类竞赛，需经过奖学金评审委员会审核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确定加分等级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7、参加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附件“学生竞赛列表”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中“非科技类”竞赛获奖，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所获加分在对应分值基础上×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8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0%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、参与国家、省、市科研项目的加分，应由项目负责人推荐，根据项目重要程度由学工组参照上述条例核定相应加分分值。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、以上成果的作者排序，均为除导师外的学生排序。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、本项加分上限为6分,累计6分以上按6分计算。</w:t>
            </w:r>
          </w:p>
          <w:p>
            <w:pPr>
              <w:widowControl/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、如遇本表列举之外的其他学习竞赛和科研成果，由学院负责认定和解释。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、本项内容的审核认定，由各班学习委员负责。</w:t>
            </w:r>
          </w:p>
        </w:tc>
      </w:tr>
    </w:tbl>
    <w:p>
      <w:pPr>
        <w:pStyle w:val="4"/>
      </w:pPr>
      <w:r>
        <w:rPr>
          <w:rFonts w:hint="eastAsia"/>
        </w:rPr>
        <w:t>第二部分：  扣分细则</w:t>
      </w:r>
    </w:p>
    <w:tbl>
      <w:tblPr>
        <w:tblStyle w:val="12"/>
        <w:tblW w:w="8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108"/>
        <w:gridCol w:w="1108"/>
        <w:gridCol w:w="6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扣  分</w:t>
            </w:r>
          </w:p>
        </w:tc>
        <w:tc>
          <w:tcPr>
            <w:tcW w:w="6000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原    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.0</w:t>
            </w:r>
          </w:p>
        </w:tc>
        <w:tc>
          <w:tcPr>
            <w:tcW w:w="6000" w:type="dxa"/>
            <w:vAlign w:val="center"/>
          </w:tcPr>
          <w:p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违反校内外有关规章制度，并受到学校、院的记过以上处分。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6000" w:type="dxa"/>
            <w:vAlign w:val="center"/>
          </w:tcPr>
          <w:p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违反校内外有关规章制度，并受到学校、院的严重警告处分。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</w:p>
        </w:tc>
        <w:tc>
          <w:tcPr>
            <w:tcW w:w="6000" w:type="dxa"/>
            <w:vAlign w:val="center"/>
          </w:tcPr>
          <w:p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违反校内外有关规章制度，并受到学校、院的警告处分。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</w:t>
            </w:r>
          </w:p>
        </w:tc>
        <w:tc>
          <w:tcPr>
            <w:tcW w:w="6000" w:type="dxa"/>
            <w:vAlign w:val="center"/>
          </w:tcPr>
          <w:p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经学院学生工作领导小组讨论通过，要求必须参加的会议、讲座、集体活动，无故缺席者。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108" w:type="dxa"/>
            <w:vAlign w:val="center"/>
          </w:tcPr>
          <w:p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  明</w:t>
            </w:r>
          </w:p>
        </w:tc>
        <w:tc>
          <w:tcPr>
            <w:tcW w:w="6000" w:type="dxa"/>
            <w:vAlign w:val="center"/>
          </w:tcPr>
          <w:p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院办公室、学生工作领导小组要求同学必须参加并严格考勤的会议、讲座、活动，通常确实有全体同学参加的必要。</w:t>
            </w:r>
          </w:p>
        </w:tc>
      </w:tr>
    </w:tbl>
    <w:p>
      <w:pPr>
        <w:pStyle w:val="3"/>
        <w:spacing w:before="540"/>
        <w:jc w:val="center"/>
      </w:pPr>
      <w:r>
        <w:rPr>
          <w:rFonts w:hint="eastAsia"/>
        </w:rPr>
        <w:t>第四章    附则</w:t>
      </w:r>
    </w:p>
    <w:p>
      <w:pPr>
        <w:tabs>
          <w:tab w:val="left" w:pos="360"/>
          <w:tab w:val="left" w:pos="7920"/>
        </w:tabs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一、本方案由学院学工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具体负责起草、编制，并将根据学院发展变化的需要，不定期组织修订；由学院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党政联席会</w:t>
      </w:r>
      <w:r>
        <w:rPr>
          <w:rFonts w:hint="eastAsia" w:ascii="仿宋_GB2312" w:hAnsi="宋体" w:eastAsia="仿宋_GB2312"/>
          <w:sz w:val="28"/>
          <w:szCs w:val="28"/>
        </w:rPr>
        <w:t>审议通过；由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具体组织实施。未尽事宜，由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负责解释，如仍有争议，由学院本科生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奖助金评审</w:t>
      </w:r>
      <w:r>
        <w:rPr>
          <w:rFonts w:hint="eastAsia" w:ascii="仿宋_GB2312" w:hAnsi="宋体" w:eastAsia="仿宋_GB2312"/>
          <w:sz w:val="28"/>
          <w:szCs w:val="28"/>
        </w:rPr>
        <w:t>委员会审议裁决。</w:t>
      </w:r>
    </w:p>
    <w:p>
      <w:pPr>
        <w:tabs>
          <w:tab w:val="left" w:pos="360"/>
          <w:tab w:val="left" w:pos="7920"/>
        </w:tabs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二、本方案自202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年度开始实施。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hZDI4ODI5NTRhZTJjNzY4Yzc1ZWIzOTY2YWQxMWYifQ=="/>
  </w:docVars>
  <w:rsids>
    <w:rsidRoot w:val="00D63446"/>
    <w:rsid w:val="00001F36"/>
    <w:rsid w:val="000215CC"/>
    <w:rsid w:val="0003561A"/>
    <w:rsid w:val="00080BCF"/>
    <w:rsid w:val="00092D98"/>
    <w:rsid w:val="000B0372"/>
    <w:rsid w:val="000B272A"/>
    <w:rsid w:val="000C4E16"/>
    <w:rsid w:val="000E3E4B"/>
    <w:rsid w:val="000F5BC2"/>
    <w:rsid w:val="00100B46"/>
    <w:rsid w:val="001158A8"/>
    <w:rsid w:val="001341B0"/>
    <w:rsid w:val="00143277"/>
    <w:rsid w:val="00143C3B"/>
    <w:rsid w:val="00164638"/>
    <w:rsid w:val="00175F7F"/>
    <w:rsid w:val="001904B8"/>
    <w:rsid w:val="001E3C22"/>
    <w:rsid w:val="001F488D"/>
    <w:rsid w:val="001F675D"/>
    <w:rsid w:val="00212106"/>
    <w:rsid w:val="00220637"/>
    <w:rsid w:val="00231A18"/>
    <w:rsid w:val="00235A8C"/>
    <w:rsid w:val="00246F1E"/>
    <w:rsid w:val="00252B93"/>
    <w:rsid w:val="00297488"/>
    <w:rsid w:val="002D24B9"/>
    <w:rsid w:val="002F37B8"/>
    <w:rsid w:val="00313CD2"/>
    <w:rsid w:val="003167C5"/>
    <w:rsid w:val="003546CB"/>
    <w:rsid w:val="00390037"/>
    <w:rsid w:val="003A05D1"/>
    <w:rsid w:val="003C22F4"/>
    <w:rsid w:val="003C2816"/>
    <w:rsid w:val="003D2179"/>
    <w:rsid w:val="003F347F"/>
    <w:rsid w:val="00401C92"/>
    <w:rsid w:val="004120B9"/>
    <w:rsid w:val="004262BD"/>
    <w:rsid w:val="004B5098"/>
    <w:rsid w:val="004D7D46"/>
    <w:rsid w:val="00507664"/>
    <w:rsid w:val="0052234F"/>
    <w:rsid w:val="00534E6E"/>
    <w:rsid w:val="0057098B"/>
    <w:rsid w:val="00583F04"/>
    <w:rsid w:val="00586E9D"/>
    <w:rsid w:val="00593234"/>
    <w:rsid w:val="00643C75"/>
    <w:rsid w:val="00674755"/>
    <w:rsid w:val="006B112F"/>
    <w:rsid w:val="00713266"/>
    <w:rsid w:val="00761809"/>
    <w:rsid w:val="007A39B9"/>
    <w:rsid w:val="007D00C4"/>
    <w:rsid w:val="007D4118"/>
    <w:rsid w:val="007F1EB7"/>
    <w:rsid w:val="00813998"/>
    <w:rsid w:val="00865EAF"/>
    <w:rsid w:val="00887483"/>
    <w:rsid w:val="00906D9B"/>
    <w:rsid w:val="0090717F"/>
    <w:rsid w:val="00920FDB"/>
    <w:rsid w:val="009250BB"/>
    <w:rsid w:val="009556F9"/>
    <w:rsid w:val="009601F0"/>
    <w:rsid w:val="00995911"/>
    <w:rsid w:val="009A22EE"/>
    <w:rsid w:val="009D0686"/>
    <w:rsid w:val="009D3131"/>
    <w:rsid w:val="009F7185"/>
    <w:rsid w:val="00A12EF0"/>
    <w:rsid w:val="00A14CBB"/>
    <w:rsid w:val="00A17C99"/>
    <w:rsid w:val="00A516FE"/>
    <w:rsid w:val="00A83023"/>
    <w:rsid w:val="00AA0C10"/>
    <w:rsid w:val="00AD730A"/>
    <w:rsid w:val="00B3100B"/>
    <w:rsid w:val="00B318C0"/>
    <w:rsid w:val="00B74D8F"/>
    <w:rsid w:val="00BB7AB3"/>
    <w:rsid w:val="00BD17D9"/>
    <w:rsid w:val="00BE18F2"/>
    <w:rsid w:val="00C14B0A"/>
    <w:rsid w:val="00C26C56"/>
    <w:rsid w:val="00C60098"/>
    <w:rsid w:val="00C73310"/>
    <w:rsid w:val="00C9194D"/>
    <w:rsid w:val="00CA3B19"/>
    <w:rsid w:val="00CC3C81"/>
    <w:rsid w:val="00CE5036"/>
    <w:rsid w:val="00D13E22"/>
    <w:rsid w:val="00D515BF"/>
    <w:rsid w:val="00D55EBC"/>
    <w:rsid w:val="00D63446"/>
    <w:rsid w:val="00D90ED6"/>
    <w:rsid w:val="00DA2B89"/>
    <w:rsid w:val="00DA33E7"/>
    <w:rsid w:val="00DB7F46"/>
    <w:rsid w:val="00DC1550"/>
    <w:rsid w:val="00DC170A"/>
    <w:rsid w:val="00DE15A7"/>
    <w:rsid w:val="00DF2AEB"/>
    <w:rsid w:val="00DF50D8"/>
    <w:rsid w:val="00E100A5"/>
    <w:rsid w:val="00E10CAB"/>
    <w:rsid w:val="00E54434"/>
    <w:rsid w:val="00E811E4"/>
    <w:rsid w:val="00E8290C"/>
    <w:rsid w:val="00E91CF0"/>
    <w:rsid w:val="00F20526"/>
    <w:rsid w:val="00F45A6D"/>
    <w:rsid w:val="00F45E12"/>
    <w:rsid w:val="00F61BF0"/>
    <w:rsid w:val="00FC75A2"/>
    <w:rsid w:val="017344A2"/>
    <w:rsid w:val="01856A0A"/>
    <w:rsid w:val="040A7561"/>
    <w:rsid w:val="04206317"/>
    <w:rsid w:val="045918E9"/>
    <w:rsid w:val="054A29D5"/>
    <w:rsid w:val="059960DD"/>
    <w:rsid w:val="05B6738F"/>
    <w:rsid w:val="05E16460"/>
    <w:rsid w:val="07792F96"/>
    <w:rsid w:val="088F1337"/>
    <w:rsid w:val="0A636CB9"/>
    <w:rsid w:val="10CD06DE"/>
    <w:rsid w:val="10F47AD8"/>
    <w:rsid w:val="11005262"/>
    <w:rsid w:val="113564EB"/>
    <w:rsid w:val="123553DF"/>
    <w:rsid w:val="13826CC0"/>
    <w:rsid w:val="141A6883"/>
    <w:rsid w:val="14E41113"/>
    <w:rsid w:val="172363BA"/>
    <w:rsid w:val="172812D4"/>
    <w:rsid w:val="174F0CF1"/>
    <w:rsid w:val="18E15F2A"/>
    <w:rsid w:val="19E718E4"/>
    <w:rsid w:val="1A5146CC"/>
    <w:rsid w:val="1ABB7AEC"/>
    <w:rsid w:val="1B9A3B40"/>
    <w:rsid w:val="1BD3043A"/>
    <w:rsid w:val="1C4701E9"/>
    <w:rsid w:val="204A4763"/>
    <w:rsid w:val="20802323"/>
    <w:rsid w:val="20A0436C"/>
    <w:rsid w:val="20F326ED"/>
    <w:rsid w:val="20F33A23"/>
    <w:rsid w:val="2144119B"/>
    <w:rsid w:val="21C35171"/>
    <w:rsid w:val="23103A2A"/>
    <w:rsid w:val="23F6291C"/>
    <w:rsid w:val="2589184D"/>
    <w:rsid w:val="25BB08D2"/>
    <w:rsid w:val="25FE61C4"/>
    <w:rsid w:val="267A5E87"/>
    <w:rsid w:val="27241792"/>
    <w:rsid w:val="279F62BE"/>
    <w:rsid w:val="29231B0D"/>
    <w:rsid w:val="2A2E2624"/>
    <w:rsid w:val="2ABB420D"/>
    <w:rsid w:val="2AE51FDA"/>
    <w:rsid w:val="2AF501DB"/>
    <w:rsid w:val="2BC81A8A"/>
    <w:rsid w:val="2CE850D0"/>
    <w:rsid w:val="30AE6631"/>
    <w:rsid w:val="319C7E84"/>
    <w:rsid w:val="341D566D"/>
    <w:rsid w:val="34C74165"/>
    <w:rsid w:val="363F7B3E"/>
    <w:rsid w:val="372E59EE"/>
    <w:rsid w:val="37873B80"/>
    <w:rsid w:val="37DA5F5D"/>
    <w:rsid w:val="384A6006"/>
    <w:rsid w:val="39726449"/>
    <w:rsid w:val="3A1C6E2E"/>
    <w:rsid w:val="3A7508EB"/>
    <w:rsid w:val="3C701FCE"/>
    <w:rsid w:val="3C907C58"/>
    <w:rsid w:val="3CB11983"/>
    <w:rsid w:val="3CC64345"/>
    <w:rsid w:val="3D0B5688"/>
    <w:rsid w:val="3DE73182"/>
    <w:rsid w:val="3E8A5FC4"/>
    <w:rsid w:val="3EE94010"/>
    <w:rsid w:val="3F96038C"/>
    <w:rsid w:val="40982A71"/>
    <w:rsid w:val="40E771B1"/>
    <w:rsid w:val="431D64EE"/>
    <w:rsid w:val="43404E88"/>
    <w:rsid w:val="44935E12"/>
    <w:rsid w:val="449F248A"/>
    <w:rsid w:val="462E470B"/>
    <w:rsid w:val="46497CCA"/>
    <w:rsid w:val="467F23C1"/>
    <w:rsid w:val="47DA5AF2"/>
    <w:rsid w:val="485061F8"/>
    <w:rsid w:val="49FE77FF"/>
    <w:rsid w:val="4A842484"/>
    <w:rsid w:val="4AFC6B34"/>
    <w:rsid w:val="4B842FBA"/>
    <w:rsid w:val="4C386F70"/>
    <w:rsid w:val="4C8E2940"/>
    <w:rsid w:val="4EEC23A6"/>
    <w:rsid w:val="4F3D4122"/>
    <w:rsid w:val="4FC13833"/>
    <w:rsid w:val="521560B8"/>
    <w:rsid w:val="52672BC5"/>
    <w:rsid w:val="531243A6"/>
    <w:rsid w:val="532F2495"/>
    <w:rsid w:val="537B6640"/>
    <w:rsid w:val="53C009E5"/>
    <w:rsid w:val="543071D9"/>
    <w:rsid w:val="54951DA2"/>
    <w:rsid w:val="54D61DED"/>
    <w:rsid w:val="55E106F0"/>
    <w:rsid w:val="56C22A22"/>
    <w:rsid w:val="57034731"/>
    <w:rsid w:val="571A5B56"/>
    <w:rsid w:val="580764A3"/>
    <w:rsid w:val="584508D4"/>
    <w:rsid w:val="58FB09EA"/>
    <w:rsid w:val="59064147"/>
    <w:rsid w:val="59BC46C1"/>
    <w:rsid w:val="59EC0A10"/>
    <w:rsid w:val="5A323D9D"/>
    <w:rsid w:val="5E23298F"/>
    <w:rsid w:val="5F3F720C"/>
    <w:rsid w:val="5F4A6E7C"/>
    <w:rsid w:val="60093B43"/>
    <w:rsid w:val="62281F4A"/>
    <w:rsid w:val="65354D5E"/>
    <w:rsid w:val="65404435"/>
    <w:rsid w:val="65644AAD"/>
    <w:rsid w:val="6739419F"/>
    <w:rsid w:val="68E87B82"/>
    <w:rsid w:val="6A622F42"/>
    <w:rsid w:val="6A793230"/>
    <w:rsid w:val="6DA64BBC"/>
    <w:rsid w:val="6DDE5E28"/>
    <w:rsid w:val="6F961BF0"/>
    <w:rsid w:val="71486946"/>
    <w:rsid w:val="71A77481"/>
    <w:rsid w:val="72563E57"/>
    <w:rsid w:val="72EB27F1"/>
    <w:rsid w:val="73677AAD"/>
    <w:rsid w:val="74566390"/>
    <w:rsid w:val="75791FEA"/>
    <w:rsid w:val="758111EB"/>
    <w:rsid w:val="76DE0C9F"/>
    <w:rsid w:val="77616343"/>
    <w:rsid w:val="77842492"/>
    <w:rsid w:val="77C10202"/>
    <w:rsid w:val="77E67A2B"/>
    <w:rsid w:val="786A124A"/>
    <w:rsid w:val="79237F02"/>
    <w:rsid w:val="79B1642B"/>
    <w:rsid w:val="7BAF4B1F"/>
    <w:rsid w:val="7BFA4FE0"/>
    <w:rsid w:val="7C160701"/>
    <w:rsid w:val="7C970ADF"/>
    <w:rsid w:val="7D83508E"/>
    <w:rsid w:val="7DAB0B60"/>
    <w:rsid w:val="7E6E7F89"/>
    <w:rsid w:val="7EBC48D9"/>
    <w:rsid w:val="F33E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仿宋_GB2312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autoRedefine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仿宋_GB2312"/>
      <w:b/>
      <w:bCs/>
      <w:sz w:val="32"/>
      <w:szCs w:val="32"/>
    </w:rPr>
  </w:style>
  <w:style w:type="paragraph" w:styleId="5">
    <w:name w:val="heading 4"/>
    <w:basedOn w:val="1"/>
    <w:next w:val="1"/>
    <w:link w:val="21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eastAsia="仿宋_GB2312" w:asciiTheme="majorHAnsi" w:hAnsiTheme="majorHAnsi" w:cstheme="majorBidi"/>
      <w:b/>
      <w:bCs/>
      <w:sz w:val="28"/>
      <w:szCs w:val="28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7">
    <w:name w:val="Body Text Indent 2"/>
    <w:basedOn w:val="1"/>
    <w:link w:val="17"/>
    <w:autoRedefine/>
    <w:unhideWhenUsed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annotation subject"/>
    <w:basedOn w:val="6"/>
    <w:next w:val="6"/>
    <w:link w:val="23"/>
    <w:autoRedefine/>
    <w:semiHidden/>
    <w:unhideWhenUsed/>
    <w:qFormat/>
    <w:uiPriority w:val="99"/>
    <w:rPr>
      <w:b/>
      <w:bCs/>
    </w:rPr>
  </w:style>
  <w:style w:type="character" w:styleId="14">
    <w:name w:val="annotation reference"/>
    <w:basedOn w:val="13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3"/>
    <w:link w:val="10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9"/>
    <w:autoRedefine/>
    <w:qFormat/>
    <w:uiPriority w:val="99"/>
    <w:rPr>
      <w:sz w:val="18"/>
      <w:szCs w:val="18"/>
    </w:rPr>
  </w:style>
  <w:style w:type="character" w:customStyle="1" w:styleId="17">
    <w:name w:val="正文文本缩进 2 字符"/>
    <w:basedOn w:val="13"/>
    <w:link w:val="7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标题 1 字符"/>
    <w:basedOn w:val="13"/>
    <w:link w:val="2"/>
    <w:autoRedefine/>
    <w:qFormat/>
    <w:uiPriority w:val="9"/>
    <w:rPr>
      <w:rFonts w:ascii="Times New Roman" w:hAnsi="Times New Roman" w:eastAsia="方正小标宋简体" w:cs="Times New Roman"/>
      <w:b/>
      <w:bCs/>
      <w:kern w:val="44"/>
      <w:sz w:val="44"/>
      <w:szCs w:val="44"/>
    </w:rPr>
  </w:style>
  <w:style w:type="character" w:customStyle="1" w:styleId="19">
    <w:name w:val="标题 2 字符"/>
    <w:basedOn w:val="13"/>
    <w:link w:val="3"/>
    <w:autoRedefine/>
    <w:qFormat/>
    <w:uiPriority w:val="9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20">
    <w:name w:val="标题 3 字符"/>
    <w:basedOn w:val="13"/>
    <w:link w:val="4"/>
    <w:autoRedefine/>
    <w:qFormat/>
    <w:uiPriority w:val="9"/>
    <w:rPr>
      <w:rFonts w:ascii="Times New Roman" w:hAnsi="Times New Roman" w:eastAsia="仿宋_GB2312" w:cs="Times New Roman"/>
      <w:b/>
      <w:bCs/>
      <w:sz w:val="32"/>
      <w:szCs w:val="32"/>
    </w:rPr>
  </w:style>
  <w:style w:type="character" w:customStyle="1" w:styleId="21">
    <w:name w:val="标题 4 字符"/>
    <w:basedOn w:val="13"/>
    <w:link w:val="5"/>
    <w:autoRedefine/>
    <w:qFormat/>
    <w:uiPriority w:val="9"/>
    <w:rPr>
      <w:rFonts w:eastAsia="仿宋_GB2312" w:asciiTheme="majorHAnsi" w:hAnsiTheme="majorHAnsi" w:cstheme="majorBidi"/>
      <w:b/>
      <w:bCs/>
      <w:sz w:val="28"/>
      <w:szCs w:val="28"/>
    </w:rPr>
  </w:style>
  <w:style w:type="character" w:customStyle="1" w:styleId="22">
    <w:name w:val="批注文字 字符"/>
    <w:basedOn w:val="13"/>
    <w:link w:val="6"/>
    <w:autoRedefine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字符"/>
    <w:basedOn w:val="22"/>
    <w:link w:val="11"/>
    <w:autoRedefine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4">
    <w:name w:val="批注框文本 字符"/>
    <w:basedOn w:val="13"/>
    <w:link w:val="8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26286-C921-466C-BBB0-A0BF9E981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9</Pages>
  <Words>1032</Words>
  <Characters>5885</Characters>
  <Lines>49</Lines>
  <Paragraphs>13</Paragraphs>
  <TotalTime>1</TotalTime>
  <ScaleCrop>false</ScaleCrop>
  <LinksUpToDate>false</LinksUpToDate>
  <CharactersWithSpaces>6904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2021-09-27T20:02:00Z</dcterms:created>
  <dc:creator>tntcs15@126.com</dc:creator>
  <cp:lastModifiedBy>十栖</cp:lastModifiedBy>
  <dcterms:modified xsi:type="dcterms:W3CDTF">2024-04-11T12:01:59Z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DBF9C3C4DDE94142AF97086B455B61CA_13</vt:lpwstr>
  </property>
  <property fmtid="{D5CDD505-2E9C-101B-9397-08002B2CF9AE}" pid="3" name="KSOProductBuildVer">
    <vt:lpwstr>2052-12.1.0.16388</vt:lpwstr>
  </property>
</Properties>
</file>