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4B60AF">
      <w:pPr>
        <w:adjustRightInd w:val="0"/>
        <w:snapToGrid w:val="0"/>
        <w:spacing w:before="156" w:beforeLines="50" w:after="156" w:afterLines="50" w:line="580" w:lineRule="atLeast"/>
        <w:jc w:val="center"/>
        <w:outlineLvl w:val="1"/>
        <w:rPr>
          <w:rFonts w:ascii="宋体" w:hAnsi="宋体" w:eastAsia="宋体"/>
          <w:bCs/>
          <w:sz w:val="40"/>
          <w:szCs w:val="32"/>
        </w:rPr>
      </w:pPr>
      <w:r>
        <w:rPr>
          <w:rFonts w:hint="eastAsia" w:ascii="宋体" w:hAnsi="宋体" w:eastAsia="宋体"/>
          <w:bCs/>
          <w:sz w:val="40"/>
          <w:szCs w:val="32"/>
        </w:rPr>
        <w:t>软件工程学院研究生奖助金评选办法</w:t>
      </w:r>
    </w:p>
    <w:p w14:paraId="7A2B1979">
      <w:pPr>
        <w:spacing w:before="156" w:beforeLines="50" w:after="156" w:afterLines="50" w:line="540" w:lineRule="atLeast"/>
        <w:jc w:val="center"/>
        <w:rPr>
          <w:rFonts w:ascii="宋体" w:hAnsi="宋体" w:eastAsia="宋体"/>
          <w:b/>
          <w:bCs/>
          <w:sz w:val="32"/>
          <w:szCs w:val="32"/>
        </w:rPr>
      </w:pPr>
      <w:r>
        <w:rPr>
          <w:rFonts w:hint="eastAsia" w:ascii="宋体" w:hAnsi="宋体" w:eastAsia="宋体"/>
          <w:b/>
          <w:bCs/>
          <w:sz w:val="32"/>
          <w:szCs w:val="32"/>
        </w:rPr>
        <w:t>第一章</w:t>
      </w:r>
      <w:r>
        <w:rPr>
          <w:rFonts w:ascii="宋体" w:hAnsi="宋体" w:eastAsia="宋体"/>
          <w:b/>
          <w:bCs/>
          <w:sz w:val="32"/>
          <w:szCs w:val="32"/>
        </w:rPr>
        <w:tab/>
      </w:r>
      <w:r>
        <w:rPr>
          <w:rFonts w:hint="eastAsia" w:ascii="宋体" w:hAnsi="宋体" w:eastAsia="宋体"/>
          <w:b/>
          <w:bCs/>
          <w:sz w:val="32"/>
          <w:szCs w:val="32"/>
        </w:rPr>
        <w:t>总则</w:t>
      </w:r>
    </w:p>
    <w:p w14:paraId="4AAB0569">
      <w:pPr>
        <w:spacing w:line="540" w:lineRule="atLeast"/>
        <w:ind w:firstLine="420"/>
        <w:rPr>
          <w:rFonts w:ascii="宋体" w:hAnsi="宋体" w:eastAsia="宋体"/>
          <w:sz w:val="32"/>
          <w:szCs w:val="32"/>
        </w:rPr>
      </w:pPr>
      <w:r>
        <w:rPr>
          <w:rFonts w:hint="eastAsia" w:ascii="宋体" w:hAnsi="宋体" w:eastAsia="宋体"/>
          <w:b/>
          <w:bCs/>
          <w:sz w:val="32"/>
          <w:szCs w:val="32"/>
        </w:rPr>
        <w:t>第一条</w:t>
      </w:r>
      <w:r>
        <w:rPr>
          <w:rFonts w:ascii="宋体" w:hAnsi="宋体" w:eastAsia="宋体"/>
          <w:sz w:val="32"/>
          <w:szCs w:val="32"/>
        </w:rPr>
        <w:tab/>
      </w:r>
      <w:r>
        <w:rPr>
          <w:rFonts w:hint="eastAsia" w:ascii="宋体" w:hAnsi="宋体" w:eastAsia="宋体"/>
          <w:sz w:val="32"/>
          <w:szCs w:val="32"/>
        </w:rPr>
        <w:t>为规范我院研究生奖助金的评选工作，鼓励研究生德、智、体全面发展，</w:t>
      </w:r>
      <w:r>
        <w:rPr>
          <w:rFonts w:hint="eastAsia" w:ascii="宋体" w:hAnsi="宋体" w:eastAsia="宋体"/>
          <w:color w:val="000000"/>
          <w:sz w:val="32"/>
          <w:szCs w:val="32"/>
        </w:rPr>
        <w:t>着力提升学生的学习力、思想力、行动力，</w:t>
      </w:r>
      <w:r>
        <w:rPr>
          <w:rFonts w:hint="eastAsia" w:ascii="宋体" w:hAnsi="宋体" w:eastAsia="宋体"/>
          <w:sz w:val="32"/>
          <w:szCs w:val="32"/>
        </w:rPr>
        <w:t>根据《中山大学研究生奖助规定》等相关管理规定，结合我院实际，特制定本办法。</w:t>
      </w:r>
    </w:p>
    <w:p w14:paraId="0098AED4">
      <w:pPr>
        <w:widowControl/>
        <w:spacing w:line="540" w:lineRule="atLeast"/>
        <w:ind w:firstLine="405"/>
        <w:jc w:val="left"/>
        <w:rPr>
          <w:rFonts w:ascii="宋体" w:hAnsi="宋体" w:eastAsia="宋体"/>
          <w:color w:val="000000"/>
          <w:sz w:val="32"/>
          <w:szCs w:val="32"/>
        </w:rPr>
      </w:pPr>
      <w:r>
        <w:rPr>
          <w:rFonts w:hint="eastAsia" w:ascii="宋体" w:hAnsi="宋体" w:eastAsia="宋体"/>
          <w:b/>
          <w:color w:val="000000"/>
          <w:sz w:val="32"/>
          <w:szCs w:val="32"/>
        </w:rPr>
        <w:t>第二条</w:t>
      </w:r>
      <w:r>
        <w:rPr>
          <w:rFonts w:ascii="宋体" w:hAnsi="宋体" w:eastAsia="宋体"/>
          <w:color w:val="000000"/>
          <w:sz w:val="32"/>
          <w:szCs w:val="32"/>
        </w:rPr>
        <w:t xml:space="preserve"> </w:t>
      </w:r>
      <w:r>
        <w:rPr>
          <w:rFonts w:hint="eastAsia" w:ascii="宋体" w:hAnsi="宋体" w:eastAsia="宋体"/>
          <w:color w:val="000000"/>
          <w:sz w:val="32"/>
          <w:szCs w:val="32"/>
        </w:rPr>
        <w:t>本办法的适用对象为接受普通高等学历教育的我院学制内非在职全日制研究生。</w:t>
      </w:r>
    </w:p>
    <w:p w14:paraId="0D96B15B">
      <w:pPr>
        <w:spacing w:line="540" w:lineRule="atLeast"/>
        <w:ind w:firstLine="321" w:firstLineChars="100"/>
        <w:jc w:val="left"/>
        <w:rPr>
          <w:rFonts w:ascii="宋体" w:hAnsi="宋体" w:eastAsia="宋体"/>
          <w:sz w:val="32"/>
          <w:szCs w:val="32"/>
        </w:rPr>
      </w:pPr>
      <w:r>
        <w:rPr>
          <w:rFonts w:hint="eastAsia" w:ascii="宋体" w:hAnsi="宋体" w:eastAsia="宋体"/>
          <w:b/>
          <w:color w:val="000000"/>
          <w:sz w:val="32"/>
          <w:szCs w:val="32"/>
        </w:rPr>
        <w:t>第三条</w:t>
      </w:r>
      <w:r>
        <w:rPr>
          <w:rFonts w:ascii="宋体" w:hAnsi="宋体" w:eastAsia="宋体"/>
          <w:color w:val="000000"/>
          <w:sz w:val="32"/>
          <w:szCs w:val="32"/>
        </w:rPr>
        <w:t xml:space="preserve"> </w:t>
      </w:r>
      <w:r>
        <w:rPr>
          <w:rFonts w:hint="eastAsia" w:ascii="宋体" w:hAnsi="宋体" w:eastAsia="宋体"/>
          <w:color w:val="000000"/>
          <w:sz w:val="32"/>
          <w:szCs w:val="32"/>
        </w:rPr>
        <w:t>本办法所指研究生奖助金包括学业奖学金、学业助学金、导师（培养单位）配套投入。其中，学业奖学金按学年一次性发放，学业助学金、导师（培养单位）配套投入逐月发放。</w:t>
      </w:r>
    </w:p>
    <w:p w14:paraId="3220B9CA">
      <w:pPr>
        <w:widowControl/>
        <w:spacing w:line="540" w:lineRule="atLeast"/>
        <w:ind w:firstLine="405"/>
        <w:jc w:val="left"/>
        <w:rPr>
          <w:rFonts w:ascii="宋体" w:hAnsi="宋体" w:eastAsia="宋体"/>
          <w:color w:val="000000"/>
          <w:sz w:val="32"/>
          <w:szCs w:val="32"/>
        </w:rPr>
      </w:pPr>
      <w:r>
        <w:rPr>
          <w:rFonts w:hint="eastAsia" w:ascii="宋体" w:hAnsi="宋体" w:eastAsia="宋体"/>
          <w:b/>
          <w:color w:val="000000"/>
          <w:sz w:val="32"/>
          <w:szCs w:val="32"/>
        </w:rPr>
        <w:t>第四条</w:t>
      </w:r>
      <w:r>
        <w:rPr>
          <w:rFonts w:ascii="宋体" w:hAnsi="宋体" w:eastAsia="宋体"/>
          <w:color w:val="000000"/>
          <w:sz w:val="32"/>
          <w:szCs w:val="32"/>
        </w:rPr>
        <w:t xml:space="preserve"> </w:t>
      </w:r>
      <w:r>
        <w:rPr>
          <w:rFonts w:hint="eastAsia" w:ascii="宋体" w:hAnsi="宋体" w:eastAsia="宋体"/>
          <w:color w:val="000000"/>
          <w:sz w:val="32"/>
          <w:szCs w:val="32"/>
        </w:rPr>
        <w:t>学生的奖励坚持精神奖励和物质奖励相结合，以精神奖励为主。</w:t>
      </w:r>
    </w:p>
    <w:p w14:paraId="57E15DBD">
      <w:pPr>
        <w:widowControl/>
        <w:spacing w:line="540" w:lineRule="atLeast"/>
        <w:ind w:firstLine="405"/>
        <w:jc w:val="left"/>
        <w:rPr>
          <w:rFonts w:ascii="宋体" w:hAnsi="宋体" w:eastAsia="宋体"/>
          <w:color w:val="000000"/>
          <w:sz w:val="32"/>
          <w:szCs w:val="32"/>
        </w:rPr>
      </w:pPr>
      <w:r>
        <w:rPr>
          <w:rFonts w:hint="eastAsia" w:ascii="宋体" w:hAnsi="宋体" w:eastAsia="宋体"/>
          <w:b/>
          <w:color w:val="000000"/>
          <w:sz w:val="32"/>
          <w:szCs w:val="32"/>
        </w:rPr>
        <w:t>第五条</w:t>
      </w:r>
      <w:r>
        <w:rPr>
          <w:rFonts w:ascii="宋体" w:hAnsi="宋体" w:eastAsia="宋体"/>
          <w:b/>
          <w:color w:val="000000"/>
          <w:sz w:val="32"/>
          <w:szCs w:val="32"/>
        </w:rPr>
        <w:t xml:space="preserve"> </w:t>
      </w:r>
      <w:r>
        <w:rPr>
          <w:rFonts w:hint="eastAsia" w:ascii="宋体" w:hAnsi="宋体" w:eastAsia="宋体"/>
          <w:color w:val="000000"/>
          <w:sz w:val="32"/>
          <w:szCs w:val="32"/>
        </w:rPr>
        <w:t>奖助金的评选应坚持公开、公平、公正和实事求是的原则。</w:t>
      </w:r>
    </w:p>
    <w:p w14:paraId="18B6FEB4">
      <w:pPr>
        <w:spacing w:before="156" w:beforeLines="50" w:after="156" w:afterLines="50" w:line="540" w:lineRule="atLeast"/>
        <w:jc w:val="center"/>
        <w:rPr>
          <w:rFonts w:ascii="宋体" w:hAnsi="宋体" w:eastAsia="宋体"/>
          <w:b/>
          <w:bCs/>
          <w:sz w:val="32"/>
          <w:szCs w:val="32"/>
        </w:rPr>
      </w:pPr>
      <w:r>
        <w:rPr>
          <w:rFonts w:hint="eastAsia" w:ascii="宋体" w:hAnsi="宋体" w:eastAsia="宋体"/>
          <w:b/>
          <w:bCs/>
          <w:sz w:val="32"/>
          <w:szCs w:val="32"/>
        </w:rPr>
        <w:t>第二章</w:t>
      </w:r>
      <w:r>
        <w:rPr>
          <w:rFonts w:ascii="宋体" w:hAnsi="宋体" w:eastAsia="宋体"/>
          <w:b/>
          <w:bCs/>
          <w:sz w:val="32"/>
          <w:szCs w:val="32"/>
        </w:rPr>
        <w:t xml:space="preserve"> </w:t>
      </w:r>
      <w:r>
        <w:rPr>
          <w:rFonts w:hint="eastAsia" w:ascii="宋体" w:hAnsi="宋体" w:eastAsia="宋体"/>
          <w:b/>
          <w:bCs/>
          <w:sz w:val="32"/>
          <w:szCs w:val="32"/>
        </w:rPr>
        <w:t>组织机构及职责</w:t>
      </w:r>
    </w:p>
    <w:p w14:paraId="5FB17F07">
      <w:pPr>
        <w:spacing w:line="540" w:lineRule="atLeast"/>
        <w:ind w:firstLine="420"/>
        <w:rPr>
          <w:rFonts w:ascii="宋体" w:hAnsi="宋体" w:eastAsia="宋体"/>
          <w:sz w:val="32"/>
          <w:szCs w:val="32"/>
        </w:rPr>
      </w:pPr>
      <w:r>
        <w:rPr>
          <w:rFonts w:hint="eastAsia" w:ascii="宋体" w:hAnsi="宋体" w:eastAsia="宋体"/>
          <w:b/>
          <w:bCs/>
          <w:sz w:val="32"/>
          <w:szCs w:val="32"/>
        </w:rPr>
        <w:t>第六条</w:t>
      </w:r>
      <w:r>
        <w:rPr>
          <w:rFonts w:ascii="宋体" w:hAnsi="宋体" w:eastAsia="宋体"/>
          <w:sz w:val="32"/>
          <w:szCs w:val="32"/>
        </w:rPr>
        <w:tab/>
      </w:r>
      <w:r>
        <w:rPr>
          <w:rFonts w:hint="eastAsia" w:ascii="宋体" w:hAnsi="宋体" w:eastAsia="宋体"/>
          <w:sz w:val="32"/>
          <w:szCs w:val="32"/>
        </w:rPr>
        <w:t>成立中山大学软件工程学院研究生奖助金评审委员会，负责本单位研究生奖助金的申请组织、初步评审等工作。评审委员会委员应以本单位研究生教育与学位专门委员为主，同时应有本单位分管学生工作的领导和研究生代表各一名，评审委员会组成人数原则上不少于</w:t>
      </w:r>
      <w:r>
        <w:rPr>
          <w:rFonts w:ascii="宋体" w:hAnsi="宋体" w:eastAsia="宋体"/>
          <w:sz w:val="32"/>
          <w:szCs w:val="32"/>
        </w:rPr>
        <w:t>5</w:t>
      </w:r>
      <w:r>
        <w:rPr>
          <w:rFonts w:hint="eastAsia" w:ascii="宋体" w:hAnsi="宋体" w:eastAsia="宋体"/>
          <w:sz w:val="32"/>
          <w:szCs w:val="32"/>
        </w:rPr>
        <w:t>人。如要修订评审规则和实施办法，应提交研究生奖助金评审委员会讨论通过。</w:t>
      </w:r>
    </w:p>
    <w:p w14:paraId="2F41CE06">
      <w:pPr>
        <w:spacing w:before="156" w:beforeLines="50" w:after="156" w:afterLines="50" w:line="540" w:lineRule="atLeast"/>
        <w:jc w:val="center"/>
        <w:rPr>
          <w:rFonts w:ascii="宋体" w:hAnsi="宋体" w:eastAsia="宋体"/>
          <w:b/>
          <w:bCs/>
          <w:sz w:val="32"/>
          <w:szCs w:val="32"/>
        </w:rPr>
      </w:pPr>
      <w:r>
        <w:rPr>
          <w:rFonts w:hint="eastAsia" w:ascii="宋体" w:hAnsi="宋体" w:eastAsia="宋体"/>
          <w:b/>
          <w:bCs/>
          <w:sz w:val="32"/>
          <w:szCs w:val="32"/>
        </w:rPr>
        <w:t>第三章</w:t>
      </w:r>
      <w:r>
        <w:rPr>
          <w:rFonts w:ascii="宋体" w:hAnsi="宋体" w:eastAsia="宋体"/>
          <w:b/>
          <w:bCs/>
          <w:sz w:val="32"/>
          <w:szCs w:val="32"/>
        </w:rPr>
        <w:t xml:space="preserve"> </w:t>
      </w:r>
      <w:r>
        <w:rPr>
          <w:rFonts w:hint="eastAsia" w:ascii="宋体" w:hAnsi="宋体" w:eastAsia="宋体"/>
          <w:b/>
          <w:bCs/>
          <w:sz w:val="32"/>
          <w:szCs w:val="32"/>
        </w:rPr>
        <w:t>名额与奖金</w:t>
      </w:r>
    </w:p>
    <w:p w14:paraId="1BBEEE52">
      <w:pPr>
        <w:spacing w:line="540" w:lineRule="atLeast"/>
        <w:ind w:firstLine="420"/>
        <w:rPr>
          <w:rFonts w:ascii="宋体" w:hAnsi="宋体" w:eastAsia="宋体"/>
          <w:sz w:val="32"/>
          <w:szCs w:val="32"/>
        </w:rPr>
      </w:pPr>
      <w:r>
        <w:rPr>
          <w:rFonts w:hint="eastAsia" w:ascii="宋体" w:hAnsi="宋体" w:eastAsia="宋体"/>
          <w:b/>
          <w:bCs/>
          <w:sz w:val="32"/>
          <w:szCs w:val="32"/>
        </w:rPr>
        <w:t>第九条</w:t>
      </w:r>
      <w:r>
        <w:rPr>
          <w:rFonts w:ascii="宋体" w:hAnsi="宋体" w:eastAsia="宋体"/>
          <w:sz w:val="32"/>
          <w:szCs w:val="32"/>
        </w:rPr>
        <w:tab/>
      </w:r>
      <w:r>
        <w:rPr>
          <w:rFonts w:hint="eastAsia" w:ascii="宋体" w:hAnsi="宋体" w:eastAsia="宋体"/>
          <w:sz w:val="32"/>
          <w:szCs w:val="32"/>
        </w:rPr>
        <w:t>奖助金名额</w:t>
      </w:r>
    </w:p>
    <w:p w14:paraId="0F9AFF4A">
      <w:pPr>
        <w:numPr>
          <w:ilvl w:val="0"/>
          <w:numId w:val="1"/>
        </w:numPr>
        <w:spacing w:line="540" w:lineRule="atLeast"/>
        <w:rPr>
          <w:rFonts w:ascii="宋体" w:hAnsi="宋体" w:eastAsia="宋体"/>
          <w:sz w:val="32"/>
          <w:szCs w:val="32"/>
        </w:rPr>
      </w:pPr>
      <w:r>
        <w:rPr>
          <w:rFonts w:hint="eastAsia" w:ascii="宋体" w:hAnsi="宋体" w:eastAsia="宋体"/>
          <w:sz w:val="32"/>
          <w:szCs w:val="32"/>
        </w:rPr>
        <w:t>学院</w:t>
      </w:r>
      <w:r>
        <w:rPr>
          <w:rFonts w:hint="eastAsia" w:ascii="宋体" w:hAnsi="宋体" w:eastAsia="宋体"/>
          <w:kern w:val="0"/>
          <w:sz w:val="32"/>
          <w:szCs w:val="32"/>
        </w:rPr>
        <w:t>奖助金的名额由学校统一分配，各年级</w:t>
      </w:r>
      <w:r>
        <w:rPr>
          <w:rFonts w:ascii="宋体" w:hAnsi="宋体" w:eastAsia="宋体"/>
          <w:kern w:val="0"/>
          <w:sz w:val="32"/>
          <w:szCs w:val="32"/>
        </w:rPr>
        <w:t>/</w:t>
      </w:r>
      <w:r>
        <w:rPr>
          <w:rFonts w:hint="eastAsia" w:ascii="宋体" w:hAnsi="宋体" w:eastAsia="宋体"/>
          <w:kern w:val="0"/>
          <w:sz w:val="32"/>
          <w:szCs w:val="32"/>
        </w:rPr>
        <w:t>专业名额原则上根据各年级</w:t>
      </w:r>
      <w:r>
        <w:rPr>
          <w:rFonts w:ascii="宋体" w:hAnsi="宋体" w:eastAsia="宋体"/>
          <w:kern w:val="0"/>
          <w:sz w:val="32"/>
          <w:szCs w:val="32"/>
        </w:rPr>
        <w:t>/</w:t>
      </w:r>
      <w:r>
        <w:rPr>
          <w:rFonts w:hint="eastAsia" w:ascii="宋体" w:hAnsi="宋体" w:eastAsia="宋体"/>
          <w:kern w:val="0"/>
          <w:sz w:val="32"/>
          <w:szCs w:val="32"/>
        </w:rPr>
        <w:t>专业参评学生人数比例进行分配</w:t>
      </w:r>
      <w:r>
        <w:rPr>
          <w:rFonts w:hint="eastAsia" w:ascii="宋体" w:hAnsi="宋体" w:eastAsia="宋体"/>
          <w:sz w:val="32"/>
          <w:szCs w:val="32"/>
        </w:rPr>
        <w:t>。</w:t>
      </w:r>
    </w:p>
    <w:p w14:paraId="3D238082">
      <w:pPr>
        <w:numPr>
          <w:ilvl w:val="0"/>
          <w:numId w:val="1"/>
        </w:numPr>
        <w:spacing w:line="540" w:lineRule="atLeast"/>
        <w:rPr>
          <w:rFonts w:ascii="宋体" w:hAnsi="宋体" w:eastAsia="宋体"/>
          <w:sz w:val="32"/>
          <w:szCs w:val="32"/>
        </w:rPr>
      </w:pPr>
      <w:r>
        <w:rPr>
          <w:rFonts w:hint="eastAsia" w:ascii="宋体" w:hAnsi="宋体" w:eastAsia="宋体"/>
          <w:sz w:val="32"/>
          <w:szCs w:val="32"/>
        </w:rPr>
        <w:t>每年奖助金最终推荐名额以当年评选通知为准。</w:t>
      </w:r>
    </w:p>
    <w:p w14:paraId="29F2402A">
      <w:pPr>
        <w:spacing w:line="540" w:lineRule="atLeast"/>
        <w:ind w:firstLine="420"/>
        <w:rPr>
          <w:rFonts w:ascii="宋体" w:hAnsi="宋体" w:eastAsia="宋体"/>
          <w:sz w:val="32"/>
          <w:szCs w:val="32"/>
        </w:rPr>
      </w:pPr>
      <w:r>
        <w:rPr>
          <w:rFonts w:hint="eastAsia" w:ascii="宋体" w:hAnsi="宋体" w:eastAsia="宋体"/>
          <w:b/>
          <w:bCs/>
          <w:sz w:val="32"/>
          <w:szCs w:val="32"/>
        </w:rPr>
        <w:t>第十条</w:t>
      </w:r>
      <w:r>
        <w:rPr>
          <w:rFonts w:ascii="宋体" w:hAnsi="宋体" w:eastAsia="宋体"/>
          <w:sz w:val="32"/>
          <w:szCs w:val="32"/>
        </w:rPr>
        <w:tab/>
      </w:r>
      <w:r>
        <w:rPr>
          <w:rFonts w:hint="eastAsia" w:ascii="宋体" w:hAnsi="宋体" w:eastAsia="宋体"/>
          <w:sz w:val="32"/>
          <w:szCs w:val="32"/>
        </w:rPr>
        <w:t>奖助金发放标准</w:t>
      </w:r>
    </w:p>
    <w:p w14:paraId="6E42C1CC">
      <w:pPr>
        <w:spacing w:line="540" w:lineRule="atLeast"/>
        <w:ind w:firstLine="640" w:firstLineChars="200"/>
        <w:rPr>
          <w:rFonts w:ascii="宋体" w:hAnsi="宋体" w:eastAsia="宋体"/>
          <w:sz w:val="32"/>
          <w:szCs w:val="32"/>
        </w:rPr>
      </w:pPr>
      <w:r>
        <w:rPr>
          <w:rFonts w:hint="eastAsia" w:ascii="宋体" w:hAnsi="宋体" w:eastAsia="宋体"/>
          <w:sz w:val="32"/>
          <w:szCs w:val="32"/>
        </w:rPr>
        <w:t>根据学校研究生奖助体系相关政策执行，以当年学校发布的通知为准。</w:t>
      </w:r>
    </w:p>
    <w:p w14:paraId="5BDA6E74">
      <w:pPr>
        <w:spacing w:before="156" w:beforeLines="50" w:after="156" w:afterLines="50" w:line="540" w:lineRule="atLeast"/>
        <w:jc w:val="center"/>
        <w:rPr>
          <w:rFonts w:ascii="宋体" w:hAnsi="宋体" w:eastAsia="宋体"/>
          <w:b/>
          <w:bCs/>
          <w:sz w:val="32"/>
          <w:szCs w:val="32"/>
        </w:rPr>
      </w:pPr>
      <w:r>
        <w:rPr>
          <w:rFonts w:hint="eastAsia" w:ascii="宋体" w:hAnsi="宋体" w:eastAsia="宋体"/>
          <w:b/>
          <w:bCs/>
          <w:sz w:val="32"/>
          <w:szCs w:val="32"/>
        </w:rPr>
        <w:t>第四章</w:t>
      </w:r>
      <w:r>
        <w:rPr>
          <w:rFonts w:ascii="宋体" w:hAnsi="宋体" w:eastAsia="宋体"/>
          <w:b/>
          <w:bCs/>
          <w:sz w:val="32"/>
          <w:szCs w:val="32"/>
        </w:rPr>
        <w:t xml:space="preserve"> </w:t>
      </w:r>
      <w:r>
        <w:rPr>
          <w:rFonts w:hint="eastAsia" w:ascii="宋体" w:hAnsi="宋体" w:eastAsia="宋体"/>
          <w:b/>
          <w:bCs/>
          <w:sz w:val="32"/>
          <w:szCs w:val="32"/>
        </w:rPr>
        <w:t>参评条件</w:t>
      </w:r>
    </w:p>
    <w:p w14:paraId="7B115402">
      <w:pPr>
        <w:spacing w:line="540" w:lineRule="atLeast"/>
        <w:ind w:firstLine="420"/>
        <w:rPr>
          <w:rFonts w:ascii="宋体" w:hAnsi="宋体" w:eastAsia="宋体"/>
          <w:sz w:val="32"/>
          <w:szCs w:val="32"/>
        </w:rPr>
      </w:pPr>
      <w:r>
        <w:rPr>
          <w:rFonts w:hint="eastAsia" w:ascii="宋体" w:hAnsi="宋体" w:eastAsia="宋体"/>
          <w:b/>
          <w:bCs/>
          <w:sz w:val="32"/>
          <w:szCs w:val="32"/>
        </w:rPr>
        <w:t>第十一条</w:t>
      </w:r>
      <w:r>
        <w:rPr>
          <w:rFonts w:ascii="宋体" w:hAnsi="宋体" w:eastAsia="宋体"/>
          <w:sz w:val="32"/>
          <w:szCs w:val="32"/>
        </w:rPr>
        <w:tab/>
      </w:r>
      <w:r>
        <w:rPr>
          <w:rFonts w:hint="eastAsia" w:ascii="宋体" w:hAnsi="宋体" w:eastAsia="宋体"/>
          <w:sz w:val="32"/>
          <w:szCs w:val="32"/>
        </w:rPr>
        <w:t>参评对象资格</w:t>
      </w:r>
    </w:p>
    <w:p w14:paraId="2B765AC3">
      <w:pPr>
        <w:numPr>
          <w:ilvl w:val="0"/>
          <w:numId w:val="2"/>
        </w:numPr>
        <w:spacing w:line="540" w:lineRule="atLeast"/>
        <w:ind w:firstLine="640" w:firstLineChars="200"/>
        <w:rPr>
          <w:rFonts w:ascii="宋体" w:hAnsi="宋体" w:eastAsia="宋体"/>
          <w:sz w:val="32"/>
          <w:szCs w:val="32"/>
        </w:rPr>
      </w:pPr>
      <w:r>
        <w:rPr>
          <w:rFonts w:hint="eastAsia" w:ascii="宋体" w:hAnsi="宋体" w:eastAsia="宋体"/>
          <w:color w:val="000000"/>
          <w:sz w:val="32"/>
          <w:szCs w:val="32"/>
        </w:rPr>
        <w:t>研究生奖助金的参评对象为纳入全国研究生招生计划且在基本修业年限内的全日制博士、硕士研究生（有固定工资收入的除外）以及国家专项计划非在职的学生。不含科研经费博士研究生专项招生计划博士研究生，不含留学生、港澳台生、定向培养（委托培养）生。</w:t>
      </w:r>
    </w:p>
    <w:p w14:paraId="67EEF9E9">
      <w:pPr>
        <w:numPr>
          <w:ilvl w:val="0"/>
          <w:numId w:val="2"/>
        </w:numPr>
        <w:spacing w:line="540" w:lineRule="atLeast"/>
        <w:ind w:firstLine="640" w:firstLineChars="200"/>
        <w:rPr>
          <w:rFonts w:ascii="宋体" w:hAnsi="宋体" w:eastAsia="宋体"/>
          <w:sz w:val="32"/>
          <w:szCs w:val="32"/>
        </w:rPr>
      </w:pPr>
      <w:r>
        <w:rPr>
          <w:rFonts w:hint="eastAsia" w:ascii="宋体" w:hAnsi="宋体" w:eastAsia="宋体"/>
          <w:color w:val="000000"/>
          <w:sz w:val="32"/>
          <w:szCs w:val="32"/>
        </w:rPr>
        <w:t>研究生有</w:t>
      </w:r>
      <w:r>
        <w:rPr>
          <w:rFonts w:hint="eastAsia" w:ascii="宋体" w:hAnsi="宋体" w:eastAsia="宋体"/>
          <w:sz w:val="32"/>
          <w:szCs w:val="32"/>
        </w:rPr>
        <w:t>以下情况之一者不能参加当年奖学金的评定：</w:t>
      </w:r>
    </w:p>
    <w:p w14:paraId="0FAB3635">
      <w:pPr>
        <w:numPr>
          <w:ilvl w:val="0"/>
          <w:numId w:val="3"/>
        </w:numPr>
        <w:spacing w:line="540" w:lineRule="atLeast"/>
        <w:ind w:firstLine="640" w:firstLineChars="200"/>
        <w:rPr>
          <w:rFonts w:ascii="宋体" w:hAnsi="宋体" w:eastAsia="宋体"/>
          <w:sz w:val="32"/>
          <w:szCs w:val="32"/>
        </w:rPr>
      </w:pPr>
      <w:r>
        <w:rPr>
          <w:rFonts w:hint="eastAsia" w:ascii="宋体" w:hAnsi="宋体" w:eastAsia="宋体"/>
          <w:sz w:val="32"/>
          <w:szCs w:val="32"/>
        </w:rPr>
        <w:t>在申请资料中弄虚作假者；</w:t>
      </w:r>
    </w:p>
    <w:p w14:paraId="1806E4E1">
      <w:pPr>
        <w:numPr>
          <w:ilvl w:val="0"/>
          <w:numId w:val="3"/>
        </w:numPr>
        <w:spacing w:line="540" w:lineRule="atLeast"/>
        <w:ind w:firstLine="640" w:firstLineChars="200"/>
        <w:rPr>
          <w:rFonts w:ascii="宋体" w:hAnsi="宋体" w:eastAsia="宋体"/>
          <w:sz w:val="32"/>
          <w:szCs w:val="32"/>
        </w:rPr>
      </w:pPr>
      <w:r>
        <w:rPr>
          <w:rFonts w:hint="eastAsia" w:ascii="宋体" w:hAnsi="宋体" w:eastAsia="宋体"/>
          <w:sz w:val="32"/>
          <w:szCs w:val="32"/>
        </w:rPr>
        <w:t>参评年度违反校纪校规受到纪律处分者；</w:t>
      </w:r>
    </w:p>
    <w:p w14:paraId="50BA9EBA">
      <w:pPr>
        <w:numPr>
          <w:ilvl w:val="0"/>
          <w:numId w:val="3"/>
        </w:numPr>
        <w:spacing w:line="540" w:lineRule="atLeast"/>
        <w:ind w:firstLine="640" w:firstLineChars="200"/>
        <w:rPr>
          <w:rFonts w:ascii="宋体" w:hAnsi="宋体" w:eastAsia="宋体"/>
          <w:sz w:val="32"/>
          <w:szCs w:val="32"/>
        </w:rPr>
      </w:pPr>
      <w:r>
        <w:rPr>
          <w:rFonts w:hint="eastAsia" w:ascii="宋体" w:hAnsi="宋体" w:eastAsia="宋体"/>
          <w:sz w:val="32"/>
          <w:szCs w:val="32"/>
        </w:rPr>
        <w:t>参评年度有抄袭剽窃、弄虚作假等学术不端行为经查证属实者；</w:t>
      </w:r>
    </w:p>
    <w:p w14:paraId="4906D80F">
      <w:pPr>
        <w:numPr>
          <w:ilvl w:val="0"/>
          <w:numId w:val="3"/>
        </w:numPr>
        <w:spacing w:line="540" w:lineRule="atLeast"/>
        <w:ind w:firstLine="640" w:firstLineChars="200"/>
        <w:rPr>
          <w:rFonts w:ascii="宋体" w:hAnsi="宋体" w:eastAsia="宋体"/>
          <w:sz w:val="32"/>
          <w:szCs w:val="32"/>
        </w:rPr>
      </w:pPr>
      <w:r>
        <w:rPr>
          <w:rFonts w:hint="eastAsia" w:ascii="宋体" w:hAnsi="宋体" w:eastAsia="宋体"/>
          <w:sz w:val="32"/>
          <w:szCs w:val="32"/>
        </w:rPr>
        <w:t>未能完成培养计划所规定的内容或未通过考核者；</w:t>
      </w:r>
    </w:p>
    <w:p w14:paraId="2801C098">
      <w:pPr>
        <w:numPr>
          <w:ilvl w:val="0"/>
          <w:numId w:val="3"/>
        </w:numPr>
        <w:spacing w:line="540" w:lineRule="atLeast"/>
        <w:ind w:firstLine="640" w:firstLineChars="200"/>
        <w:rPr>
          <w:rFonts w:ascii="宋体" w:hAnsi="宋体" w:eastAsia="宋体"/>
          <w:sz w:val="32"/>
          <w:szCs w:val="32"/>
        </w:rPr>
      </w:pPr>
      <w:r>
        <w:rPr>
          <w:rFonts w:hint="eastAsia" w:ascii="宋体" w:hAnsi="宋体" w:eastAsia="宋体"/>
          <w:sz w:val="32"/>
          <w:szCs w:val="32"/>
        </w:rPr>
        <w:t>有必修课成绩不合格或选修成绩不及格者。</w:t>
      </w:r>
    </w:p>
    <w:p w14:paraId="1C2EC27F">
      <w:pPr>
        <w:spacing w:line="540" w:lineRule="atLeast"/>
        <w:ind w:firstLine="420"/>
        <w:rPr>
          <w:rFonts w:ascii="宋体" w:hAnsi="宋体" w:eastAsia="宋体"/>
          <w:sz w:val="32"/>
          <w:szCs w:val="32"/>
        </w:rPr>
      </w:pPr>
      <w:r>
        <w:rPr>
          <w:rFonts w:hint="eastAsia" w:ascii="宋体" w:hAnsi="宋体" w:eastAsia="宋体"/>
          <w:b/>
          <w:bCs/>
          <w:sz w:val="32"/>
          <w:szCs w:val="32"/>
        </w:rPr>
        <w:t>第十二条</w:t>
      </w:r>
      <w:r>
        <w:rPr>
          <w:rFonts w:ascii="宋体" w:hAnsi="宋体" w:eastAsia="宋体"/>
          <w:sz w:val="32"/>
          <w:szCs w:val="32"/>
        </w:rPr>
        <w:tab/>
      </w:r>
      <w:r>
        <w:rPr>
          <w:rFonts w:hint="eastAsia" w:ascii="宋体" w:hAnsi="宋体" w:eastAsia="宋体"/>
          <w:sz w:val="32"/>
          <w:szCs w:val="32"/>
        </w:rPr>
        <w:t>参评条件</w:t>
      </w:r>
    </w:p>
    <w:p w14:paraId="79045683">
      <w:pPr>
        <w:numPr>
          <w:ilvl w:val="0"/>
          <w:numId w:val="4"/>
        </w:numPr>
        <w:spacing w:line="540" w:lineRule="atLeast"/>
        <w:ind w:firstLine="640" w:firstLineChars="200"/>
        <w:rPr>
          <w:rFonts w:ascii="宋体" w:hAnsi="宋体" w:eastAsia="宋体"/>
          <w:sz w:val="32"/>
          <w:szCs w:val="32"/>
        </w:rPr>
      </w:pPr>
      <w:r>
        <w:rPr>
          <w:rFonts w:hint="eastAsia" w:ascii="宋体" w:hAnsi="宋体" w:eastAsia="宋体"/>
          <w:sz w:val="32"/>
          <w:szCs w:val="32"/>
        </w:rPr>
        <w:t>热爱社会主义祖国，拥护中国共产党领导。</w:t>
      </w:r>
    </w:p>
    <w:p w14:paraId="41A15A91">
      <w:pPr>
        <w:numPr>
          <w:ilvl w:val="0"/>
          <w:numId w:val="4"/>
        </w:numPr>
        <w:spacing w:line="540" w:lineRule="atLeast"/>
        <w:ind w:firstLine="640" w:firstLineChars="200"/>
        <w:rPr>
          <w:rFonts w:ascii="宋体" w:hAnsi="宋体" w:eastAsia="宋体"/>
          <w:sz w:val="32"/>
          <w:szCs w:val="32"/>
        </w:rPr>
      </w:pPr>
      <w:r>
        <w:rPr>
          <w:rFonts w:hint="eastAsia" w:ascii="宋体" w:hAnsi="宋体" w:eastAsia="宋体"/>
          <w:sz w:val="32"/>
          <w:szCs w:val="32"/>
        </w:rPr>
        <w:t>遵守宪法和法律，遵守高等学校规章制度。</w:t>
      </w:r>
    </w:p>
    <w:p w14:paraId="54DCDDC5">
      <w:pPr>
        <w:numPr>
          <w:ilvl w:val="0"/>
          <w:numId w:val="4"/>
        </w:numPr>
        <w:spacing w:line="540" w:lineRule="atLeast"/>
        <w:ind w:firstLine="640" w:firstLineChars="200"/>
        <w:rPr>
          <w:rFonts w:ascii="宋体" w:hAnsi="宋体" w:eastAsia="宋体"/>
          <w:sz w:val="32"/>
          <w:szCs w:val="32"/>
        </w:rPr>
      </w:pPr>
      <w:r>
        <w:rPr>
          <w:rFonts w:hint="eastAsia" w:ascii="宋体" w:hAnsi="宋体" w:eastAsia="宋体"/>
          <w:sz w:val="32"/>
          <w:szCs w:val="32"/>
        </w:rPr>
        <w:t>诚实守信，道德品质优良。</w:t>
      </w:r>
    </w:p>
    <w:p w14:paraId="23CAB1D8">
      <w:pPr>
        <w:numPr>
          <w:ilvl w:val="0"/>
          <w:numId w:val="4"/>
        </w:numPr>
        <w:spacing w:line="540" w:lineRule="atLeast"/>
        <w:ind w:firstLine="640" w:firstLineChars="200"/>
        <w:rPr>
          <w:rFonts w:ascii="宋体" w:hAnsi="宋体" w:eastAsia="宋体"/>
          <w:sz w:val="32"/>
          <w:szCs w:val="32"/>
        </w:rPr>
      </w:pPr>
      <w:r>
        <w:rPr>
          <w:rFonts w:hint="eastAsia" w:ascii="宋体" w:hAnsi="宋体" w:eastAsia="宋体"/>
          <w:sz w:val="32"/>
          <w:szCs w:val="32"/>
        </w:rPr>
        <w:t>热爱集体、尊师爱校、团结同学、积极参加各项有益的集体活动。</w:t>
      </w:r>
    </w:p>
    <w:p w14:paraId="5237C64F">
      <w:pPr>
        <w:numPr>
          <w:ilvl w:val="0"/>
          <w:numId w:val="4"/>
        </w:numPr>
        <w:spacing w:line="540" w:lineRule="atLeast"/>
        <w:ind w:firstLine="640" w:firstLineChars="200"/>
        <w:rPr>
          <w:rFonts w:ascii="宋体" w:hAnsi="宋体" w:eastAsia="宋体"/>
          <w:sz w:val="32"/>
          <w:szCs w:val="32"/>
        </w:rPr>
      </w:pPr>
      <w:r>
        <w:rPr>
          <w:rFonts w:hint="eastAsia" w:ascii="宋体" w:hAnsi="宋体" w:eastAsia="宋体"/>
          <w:sz w:val="32"/>
          <w:szCs w:val="32"/>
        </w:rPr>
        <w:t>学习态度端正，积极参加学术科研活动，具有良好的科学素养和较强的科研创新能力。</w:t>
      </w:r>
    </w:p>
    <w:p w14:paraId="5E059334">
      <w:pPr>
        <w:spacing w:before="156" w:beforeLines="50" w:after="156" w:afterLines="50" w:line="540" w:lineRule="atLeast"/>
        <w:jc w:val="center"/>
        <w:rPr>
          <w:rFonts w:ascii="宋体" w:hAnsi="宋体" w:eastAsia="宋体"/>
          <w:b/>
          <w:bCs/>
          <w:sz w:val="32"/>
          <w:szCs w:val="32"/>
        </w:rPr>
      </w:pPr>
      <w:r>
        <w:rPr>
          <w:rFonts w:hint="eastAsia" w:ascii="宋体" w:hAnsi="宋体" w:eastAsia="宋体"/>
          <w:b/>
          <w:bCs/>
          <w:sz w:val="32"/>
          <w:szCs w:val="32"/>
        </w:rPr>
        <w:t>第五章</w:t>
      </w:r>
      <w:r>
        <w:rPr>
          <w:rFonts w:ascii="宋体" w:hAnsi="宋体" w:eastAsia="宋体"/>
          <w:b/>
          <w:bCs/>
          <w:sz w:val="32"/>
          <w:szCs w:val="32"/>
        </w:rPr>
        <w:t xml:space="preserve"> </w:t>
      </w:r>
      <w:r>
        <w:rPr>
          <w:rFonts w:hint="eastAsia" w:ascii="宋体" w:hAnsi="宋体" w:eastAsia="宋体"/>
          <w:b/>
          <w:bCs/>
          <w:sz w:val="32"/>
          <w:szCs w:val="32"/>
        </w:rPr>
        <w:t>评选标准</w:t>
      </w:r>
    </w:p>
    <w:p w14:paraId="5B42D662">
      <w:pPr>
        <w:spacing w:line="540" w:lineRule="atLeast"/>
        <w:ind w:firstLine="420"/>
        <w:rPr>
          <w:rFonts w:ascii="宋体" w:hAnsi="宋体" w:eastAsia="宋体"/>
          <w:sz w:val="32"/>
          <w:szCs w:val="32"/>
        </w:rPr>
      </w:pPr>
      <w:r>
        <w:rPr>
          <w:rFonts w:hint="eastAsia" w:ascii="宋体" w:hAnsi="宋体" w:eastAsia="宋体"/>
          <w:b/>
          <w:bCs/>
          <w:sz w:val="32"/>
          <w:szCs w:val="32"/>
        </w:rPr>
        <w:t>第十三条</w:t>
      </w:r>
      <w:r>
        <w:rPr>
          <w:rFonts w:ascii="宋体" w:hAnsi="宋体" w:eastAsia="宋体"/>
          <w:sz w:val="32"/>
          <w:szCs w:val="32"/>
        </w:rPr>
        <w:t xml:space="preserve">  </w:t>
      </w:r>
      <w:r>
        <w:rPr>
          <w:rFonts w:hint="eastAsia" w:ascii="宋体" w:hAnsi="宋体" w:eastAsia="宋体"/>
          <w:sz w:val="32"/>
          <w:szCs w:val="32"/>
        </w:rPr>
        <w:t>评定标准</w:t>
      </w:r>
    </w:p>
    <w:p w14:paraId="42E8E42D">
      <w:pPr>
        <w:spacing w:line="540" w:lineRule="atLeast"/>
        <w:ind w:firstLine="420"/>
        <w:rPr>
          <w:rFonts w:ascii="宋体" w:hAnsi="宋体" w:eastAsia="宋体"/>
          <w:sz w:val="32"/>
          <w:szCs w:val="32"/>
        </w:rPr>
      </w:pPr>
      <w:r>
        <w:rPr>
          <w:rFonts w:hint="eastAsia" w:ascii="宋体" w:hAnsi="宋体" w:eastAsia="宋体"/>
          <w:sz w:val="32"/>
          <w:szCs w:val="32"/>
        </w:rPr>
        <w:t>（一）评定内容包括学生的德、智、体、美、劳各方面的表现，最终获奖名单以评定的综合成绩为标准，按分数高低依次推荐。</w:t>
      </w:r>
    </w:p>
    <w:p w14:paraId="3F750C62">
      <w:pPr>
        <w:spacing w:line="540" w:lineRule="atLeast"/>
        <w:ind w:firstLine="420"/>
        <w:rPr>
          <w:rFonts w:ascii="宋体" w:hAnsi="宋体" w:eastAsia="宋体"/>
          <w:sz w:val="32"/>
          <w:szCs w:val="32"/>
        </w:rPr>
      </w:pPr>
      <w:r>
        <w:rPr>
          <w:rFonts w:hint="eastAsia" w:ascii="宋体" w:hAnsi="宋体" w:eastAsia="宋体"/>
          <w:sz w:val="32"/>
          <w:szCs w:val="32"/>
        </w:rPr>
        <w:t>（二）综合成绩由学业基本分、附加分两部分组成，计算方法如下：</w:t>
      </w:r>
    </w:p>
    <w:p w14:paraId="315F3353">
      <w:pPr>
        <w:spacing w:line="540" w:lineRule="atLeast"/>
        <w:ind w:firstLine="640" w:firstLineChars="200"/>
        <w:rPr>
          <w:rFonts w:ascii="宋体" w:hAnsi="宋体" w:eastAsia="宋体"/>
          <w:sz w:val="32"/>
          <w:szCs w:val="32"/>
        </w:rPr>
      </w:pPr>
      <w:r>
        <w:rPr>
          <w:rFonts w:hint="eastAsia" w:ascii="宋体" w:hAnsi="宋体" w:eastAsia="宋体"/>
          <w:sz w:val="32"/>
          <w:szCs w:val="32"/>
        </w:rPr>
        <w:t>综合成绩</w:t>
      </w:r>
      <w:r>
        <w:rPr>
          <w:rFonts w:ascii="宋体" w:hAnsi="宋体" w:eastAsia="宋体"/>
          <w:sz w:val="32"/>
          <w:szCs w:val="32"/>
        </w:rPr>
        <w:t>=</w:t>
      </w:r>
      <w:r>
        <w:rPr>
          <w:rFonts w:hint="eastAsia" w:ascii="宋体" w:hAnsi="宋体" w:eastAsia="宋体"/>
          <w:sz w:val="32"/>
          <w:szCs w:val="32"/>
        </w:rPr>
        <w:t>学业基本分</w:t>
      </w:r>
      <w:r>
        <w:rPr>
          <w:rFonts w:ascii="宋体" w:hAnsi="宋体" w:eastAsia="宋体"/>
          <w:sz w:val="32"/>
          <w:szCs w:val="32"/>
        </w:rPr>
        <w:t>+</w:t>
      </w:r>
      <w:r>
        <w:rPr>
          <w:rFonts w:hint="eastAsia" w:ascii="宋体" w:hAnsi="宋体" w:eastAsia="宋体"/>
          <w:sz w:val="32"/>
          <w:szCs w:val="32"/>
        </w:rPr>
        <w:t>附加分</w:t>
      </w:r>
    </w:p>
    <w:p w14:paraId="53181E47">
      <w:pPr>
        <w:spacing w:line="540" w:lineRule="atLeast"/>
        <w:ind w:firstLine="640" w:firstLineChars="200"/>
        <w:rPr>
          <w:rFonts w:ascii="宋体" w:hAnsi="宋体" w:eastAsia="宋体"/>
          <w:sz w:val="32"/>
          <w:szCs w:val="32"/>
        </w:rPr>
      </w:pPr>
      <w:r>
        <w:rPr>
          <w:rFonts w:hint="eastAsia" w:ascii="宋体" w:hAnsi="宋体" w:eastAsia="宋体"/>
          <w:sz w:val="32"/>
          <w:szCs w:val="32"/>
        </w:rPr>
        <w:t>学业基本分、附加分的计算方法见第七章细则。</w:t>
      </w:r>
    </w:p>
    <w:p w14:paraId="53379D21">
      <w:pPr>
        <w:spacing w:line="540" w:lineRule="atLeast"/>
        <w:ind w:firstLine="420"/>
        <w:jc w:val="center"/>
        <w:rPr>
          <w:rFonts w:ascii="宋体" w:hAnsi="宋体" w:eastAsia="宋体"/>
          <w:b/>
          <w:bCs/>
          <w:sz w:val="32"/>
          <w:szCs w:val="32"/>
        </w:rPr>
      </w:pPr>
      <w:r>
        <w:rPr>
          <w:rFonts w:hint="eastAsia" w:ascii="宋体" w:hAnsi="宋体" w:eastAsia="宋体"/>
          <w:b/>
          <w:bCs/>
          <w:sz w:val="32"/>
          <w:szCs w:val="32"/>
        </w:rPr>
        <w:t>第六章</w:t>
      </w:r>
      <w:r>
        <w:rPr>
          <w:rFonts w:ascii="宋体" w:hAnsi="宋体" w:eastAsia="宋体"/>
          <w:b/>
          <w:bCs/>
          <w:sz w:val="32"/>
          <w:szCs w:val="32"/>
        </w:rPr>
        <w:tab/>
      </w:r>
      <w:r>
        <w:rPr>
          <w:rFonts w:hint="eastAsia" w:ascii="宋体" w:hAnsi="宋体" w:eastAsia="宋体"/>
          <w:b/>
          <w:bCs/>
          <w:sz w:val="32"/>
          <w:szCs w:val="32"/>
        </w:rPr>
        <w:t>评定程序</w:t>
      </w:r>
    </w:p>
    <w:p w14:paraId="518F14F5">
      <w:pPr>
        <w:spacing w:line="540" w:lineRule="atLeast"/>
        <w:ind w:firstLine="420"/>
        <w:rPr>
          <w:rFonts w:ascii="宋体" w:hAnsi="宋体" w:eastAsia="宋体"/>
          <w:sz w:val="32"/>
          <w:szCs w:val="32"/>
        </w:rPr>
      </w:pPr>
      <w:r>
        <w:rPr>
          <w:rFonts w:hint="eastAsia" w:ascii="宋体" w:hAnsi="宋体" w:eastAsia="宋体"/>
          <w:b/>
          <w:bCs/>
          <w:sz w:val="32"/>
          <w:szCs w:val="32"/>
        </w:rPr>
        <w:t>第十四条</w:t>
      </w:r>
      <w:r>
        <w:rPr>
          <w:rFonts w:ascii="宋体" w:hAnsi="宋体" w:eastAsia="宋体"/>
          <w:sz w:val="32"/>
          <w:szCs w:val="32"/>
        </w:rPr>
        <w:t xml:space="preserve">  </w:t>
      </w:r>
      <w:r>
        <w:rPr>
          <w:rFonts w:hint="eastAsia" w:ascii="宋体" w:hAnsi="宋体" w:eastAsia="宋体"/>
          <w:sz w:val="32"/>
          <w:szCs w:val="32"/>
        </w:rPr>
        <w:t>评定程序</w:t>
      </w:r>
    </w:p>
    <w:p w14:paraId="6791C4FA">
      <w:pPr>
        <w:numPr>
          <w:ilvl w:val="0"/>
          <w:numId w:val="5"/>
        </w:numPr>
        <w:spacing w:line="540" w:lineRule="atLeast"/>
        <w:ind w:firstLine="640" w:firstLineChars="200"/>
        <w:rPr>
          <w:rFonts w:ascii="宋体" w:hAnsi="宋体" w:eastAsia="宋体"/>
          <w:sz w:val="32"/>
          <w:szCs w:val="32"/>
        </w:rPr>
      </w:pPr>
      <w:r>
        <w:rPr>
          <w:rFonts w:hint="eastAsia" w:ascii="宋体" w:hAnsi="宋体" w:eastAsia="宋体"/>
          <w:sz w:val="32"/>
          <w:szCs w:val="32"/>
        </w:rPr>
        <w:t>学生本人提出申请。须由本人填写相应申请表格和材料，并附相关学业成绩、科研成果、获奖情况等证明材料，经导师审核推荐，在规定时间内交给学院研究生奖助金评审委员会相关负责人。逾期不提交申请者，视作自动放弃奖助金申请资格。</w:t>
      </w:r>
    </w:p>
    <w:p w14:paraId="55E7C7A5">
      <w:pPr>
        <w:numPr>
          <w:ilvl w:val="0"/>
          <w:numId w:val="5"/>
        </w:numPr>
        <w:spacing w:line="540" w:lineRule="atLeast"/>
        <w:ind w:firstLine="640" w:firstLineChars="200"/>
        <w:rPr>
          <w:rFonts w:ascii="宋体" w:hAnsi="宋体" w:eastAsia="宋体"/>
          <w:sz w:val="32"/>
          <w:szCs w:val="32"/>
        </w:rPr>
      </w:pPr>
      <w:r>
        <w:rPr>
          <w:rFonts w:hint="eastAsia" w:ascii="宋体" w:hAnsi="宋体" w:eastAsia="宋体"/>
          <w:sz w:val="32"/>
          <w:szCs w:val="32"/>
        </w:rPr>
        <w:t>学院研究生奖助金评审委员会召开评审会议，对申请学生的材料进行审核、评议，根据评选办法细则计算出参评同学的综合成绩，初评确定拟获奖名单和等级，并在学院内公示不少于</w:t>
      </w:r>
      <w:r>
        <w:rPr>
          <w:rFonts w:ascii="宋体" w:hAnsi="宋体" w:eastAsia="宋体"/>
          <w:sz w:val="32"/>
          <w:szCs w:val="32"/>
        </w:rPr>
        <w:t>5</w:t>
      </w:r>
      <w:r>
        <w:rPr>
          <w:rFonts w:hint="eastAsia" w:ascii="宋体" w:hAnsi="宋体" w:eastAsia="宋体"/>
          <w:sz w:val="32"/>
          <w:szCs w:val="32"/>
        </w:rPr>
        <w:t>个工作日，后上报学校研究生院审核。</w:t>
      </w:r>
    </w:p>
    <w:p w14:paraId="5DCC09E2">
      <w:pPr>
        <w:numPr>
          <w:ilvl w:val="0"/>
          <w:numId w:val="5"/>
        </w:numPr>
        <w:spacing w:line="540" w:lineRule="atLeast"/>
        <w:ind w:firstLine="640" w:firstLineChars="200"/>
        <w:rPr>
          <w:rFonts w:ascii="宋体" w:hAnsi="宋体" w:eastAsia="宋体"/>
          <w:sz w:val="32"/>
          <w:szCs w:val="32"/>
        </w:rPr>
      </w:pPr>
      <w:r>
        <w:rPr>
          <w:rFonts w:hint="eastAsia" w:ascii="宋体" w:hAnsi="宋体" w:eastAsia="宋体"/>
          <w:sz w:val="32"/>
          <w:szCs w:val="32"/>
        </w:rPr>
        <w:t>学校组织专家进行评审。最终获奖名单由学校确定并公布。</w:t>
      </w:r>
    </w:p>
    <w:p w14:paraId="02429B4B">
      <w:pPr>
        <w:spacing w:line="540" w:lineRule="atLeast"/>
        <w:ind w:firstLine="420"/>
        <w:rPr>
          <w:rFonts w:ascii="宋体" w:hAnsi="宋体" w:eastAsia="宋体"/>
          <w:sz w:val="32"/>
          <w:szCs w:val="32"/>
        </w:rPr>
      </w:pPr>
      <w:r>
        <w:rPr>
          <w:rFonts w:hint="eastAsia" w:ascii="宋体" w:hAnsi="宋体" w:eastAsia="宋体"/>
          <w:b/>
          <w:bCs/>
          <w:sz w:val="32"/>
          <w:szCs w:val="32"/>
        </w:rPr>
        <w:t>第十五条</w:t>
      </w:r>
      <w:r>
        <w:rPr>
          <w:rFonts w:ascii="宋体" w:hAnsi="宋体" w:eastAsia="宋体"/>
          <w:sz w:val="32"/>
          <w:szCs w:val="32"/>
        </w:rPr>
        <w:t xml:space="preserve">  </w:t>
      </w:r>
      <w:r>
        <w:rPr>
          <w:rFonts w:hint="eastAsia" w:ascii="宋体" w:hAnsi="宋体" w:eastAsia="宋体"/>
          <w:sz w:val="32"/>
          <w:szCs w:val="32"/>
        </w:rPr>
        <w:t>复议程序</w:t>
      </w:r>
    </w:p>
    <w:p w14:paraId="0CEC2188">
      <w:pPr>
        <w:spacing w:line="540" w:lineRule="atLeast"/>
        <w:ind w:firstLine="420"/>
        <w:rPr>
          <w:rFonts w:ascii="宋体" w:hAnsi="宋体" w:eastAsia="宋体"/>
          <w:sz w:val="32"/>
          <w:szCs w:val="32"/>
        </w:rPr>
      </w:pPr>
      <w:r>
        <w:rPr>
          <w:rFonts w:hint="eastAsia" w:ascii="宋体" w:hAnsi="宋体" w:eastAsia="宋体"/>
          <w:sz w:val="32"/>
          <w:szCs w:val="32"/>
        </w:rPr>
        <w:t>学生有权对评选结果（本人的或他人的）提出复议要求。</w:t>
      </w:r>
    </w:p>
    <w:p w14:paraId="4CC06CCF">
      <w:pPr>
        <w:numPr>
          <w:ilvl w:val="0"/>
          <w:numId w:val="6"/>
        </w:numPr>
        <w:spacing w:line="540" w:lineRule="atLeast"/>
        <w:jc w:val="left"/>
        <w:rPr>
          <w:rFonts w:ascii="宋体" w:hAnsi="宋体" w:eastAsia="宋体"/>
          <w:sz w:val="32"/>
          <w:szCs w:val="32"/>
        </w:rPr>
      </w:pPr>
      <w:r>
        <w:rPr>
          <w:rFonts w:hint="eastAsia" w:ascii="宋体" w:hAnsi="宋体" w:eastAsia="宋体"/>
          <w:sz w:val="32"/>
          <w:szCs w:val="32"/>
        </w:rPr>
        <w:t>学院公示期间，学生如对评选结果有异议，由本人向学院奖助金评审委员会提出申诉与复议申请，并提交相关证明材料。如确实存在漏加、错加得分的情况，学院奖助金评审委员会需拟定书面修改建议，写明修改原因及修改结果，并将修正后的结果及时反馈被评选者本人。</w:t>
      </w:r>
    </w:p>
    <w:p w14:paraId="2C9775BB">
      <w:pPr>
        <w:numPr>
          <w:ilvl w:val="0"/>
          <w:numId w:val="6"/>
        </w:numPr>
        <w:spacing w:line="540" w:lineRule="atLeast"/>
        <w:jc w:val="left"/>
        <w:rPr>
          <w:rFonts w:ascii="宋体" w:hAnsi="宋体" w:eastAsia="宋体"/>
          <w:sz w:val="32"/>
          <w:szCs w:val="32"/>
        </w:rPr>
      </w:pPr>
      <w:r>
        <w:rPr>
          <w:rFonts w:hint="eastAsia" w:ascii="宋体" w:hAnsi="宋体" w:eastAsia="宋体"/>
          <w:sz w:val="32"/>
          <w:szCs w:val="32"/>
        </w:rPr>
        <w:t>最终结果应在学院存档。</w:t>
      </w:r>
    </w:p>
    <w:p w14:paraId="1470136E">
      <w:pPr>
        <w:spacing w:before="156" w:beforeLines="50" w:after="156" w:afterLines="50" w:line="540" w:lineRule="atLeast"/>
        <w:jc w:val="center"/>
        <w:rPr>
          <w:rFonts w:ascii="宋体" w:hAnsi="宋体" w:eastAsia="宋体"/>
          <w:b/>
          <w:bCs/>
          <w:sz w:val="32"/>
          <w:szCs w:val="32"/>
        </w:rPr>
      </w:pPr>
    </w:p>
    <w:p w14:paraId="415B0EB1">
      <w:pPr>
        <w:spacing w:before="156" w:beforeLines="50" w:after="156" w:afterLines="50" w:line="540" w:lineRule="atLeast"/>
        <w:jc w:val="center"/>
        <w:rPr>
          <w:rFonts w:ascii="宋体" w:hAnsi="宋体" w:eastAsia="宋体"/>
          <w:b/>
          <w:bCs/>
          <w:sz w:val="32"/>
          <w:szCs w:val="32"/>
        </w:rPr>
      </w:pPr>
      <w:r>
        <w:rPr>
          <w:rFonts w:hint="eastAsia" w:ascii="宋体" w:hAnsi="宋体" w:eastAsia="宋体"/>
          <w:b/>
          <w:bCs/>
          <w:sz w:val="32"/>
          <w:szCs w:val="32"/>
        </w:rPr>
        <w:t>第七章</w:t>
      </w:r>
      <w:r>
        <w:rPr>
          <w:rFonts w:ascii="宋体" w:hAnsi="宋体" w:eastAsia="宋体"/>
          <w:b/>
          <w:bCs/>
          <w:sz w:val="32"/>
          <w:szCs w:val="32"/>
        </w:rPr>
        <w:tab/>
      </w:r>
      <w:r>
        <w:rPr>
          <w:rFonts w:hint="eastAsia" w:ascii="宋体" w:hAnsi="宋体" w:eastAsia="宋体"/>
          <w:b/>
          <w:bCs/>
          <w:sz w:val="32"/>
          <w:szCs w:val="32"/>
        </w:rPr>
        <w:t>评定细则</w:t>
      </w:r>
    </w:p>
    <w:p w14:paraId="740E3F96">
      <w:pPr>
        <w:spacing w:line="540" w:lineRule="atLeast"/>
        <w:ind w:firstLine="420"/>
        <w:rPr>
          <w:rFonts w:ascii="宋体" w:hAnsi="宋体" w:eastAsia="宋体"/>
          <w:sz w:val="32"/>
          <w:szCs w:val="32"/>
        </w:rPr>
      </w:pPr>
      <w:r>
        <w:rPr>
          <w:rFonts w:hint="eastAsia" w:ascii="宋体" w:hAnsi="宋体" w:eastAsia="宋体"/>
          <w:b/>
          <w:bCs/>
          <w:sz w:val="32"/>
          <w:szCs w:val="32"/>
        </w:rPr>
        <w:t>第十六条</w:t>
      </w:r>
      <w:r>
        <w:rPr>
          <w:rFonts w:ascii="宋体" w:hAnsi="宋体" w:eastAsia="宋体"/>
          <w:b/>
          <w:bCs/>
          <w:sz w:val="32"/>
          <w:szCs w:val="32"/>
        </w:rPr>
        <w:t xml:space="preserve">  </w:t>
      </w:r>
      <w:r>
        <w:rPr>
          <w:rFonts w:hint="eastAsia" w:ascii="宋体" w:hAnsi="宋体" w:eastAsia="宋体"/>
          <w:sz w:val="32"/>
          <w:szCs w:val="32"/>
        </w:rPr>
        <w:t>综合成绩评定标准</w:t>
      </w:r>
    </w:p>
    <w:p w14:paraId="4DC70407">
      <w:pPr>
        <w:pStyle w:val="14"/>
        <w:numPr>
          <w:ilvl w:val="0"/>
          <w:numId w:val="7"/>
        </w:numPr>
        <w:spacing w:line="540" w:lineRule="atLeast"/>
        <w:ind w:firstLineChars="0"/>
        <w:rPr>
          <w:rFonts w:ascii="宋体" w:hAnsi="宋体" w:eastAsia="宋体"/>
          <w:sz w:val="32"/>
          <w:szCs w:val="32"/>
        </w:rPr>
      </w:pPr>
      <w:r>
        <w:rPr>
          <w:rFonts w:hint="eastAsia" w:ascii="宋体" w:hAnsi="宋体" w:eastAsia="宋体"/>
          <w:sz w:val="32"/>
          <w:szCs w:val="32"/>
        </w:rPr>
        <w:t>一年级新生</w:t>
      </w:r>
    </w:p>
    <w:p w14:paraId="4DD146C8">
      <w:pPr>
        <w:spacing w:line="540" w:lineRule="atLeast"/>
        <w:ind w:firstLine="640" w:firstLineChars="200"/>
        <w:rPr>
          <w:rFonts w:ascii="宋体" w:hAnsi="宋体" w:eastAsia="宋体"/>
          <w:sz w:val="32"/>
          <w:szCs w:val="32"/>
        </w:rPr>
      </w:pPr>
      <w:r>
        <w:rPr>
          <w:rFonts w:hint="eastAsia" w:ascii="宋体" w:hAnsi="宋体" w:eastAsia="宋体"/>
          <w:sz w:val="32"/>
          <w:szCs w:val="32"/>
        </w:rPr>
        <w:t>根据学校文件指导精神，对于新入学的研究生，应重点考察其与招生考试相关的成绩及考核评价情况。故本院研究生新生的奖助金评选主要根据入学方式、入学考核成绩评定。具体实施方式如下：</w:t>
      </w:r>
    </w:p>
    <w:p w14:paraId="77E4F928">
      <w:pPr>
        <w:pStyle w:val="14"/>
        <w:numPr>
          <w:ilvl w:val="0"/>
          <w:numId w:val="8"/>
        </w:numPr>
        <w:spacing w:line="540" w:lineRule="atLeast"/>
        <w:ind w:firstLineChars="0"/>
        <w:rPr>
          <w:rFonts w:ascii="宋体" w:hAnsi="宋体" w:eastAsia="宋体"/>
          <w:sz w:val="32"/>
          <w:szCs w:val="32"/>
        </w:rPr>
      </w:pPr>
      <w:r>
        <w:rPr>
          <w:rFonts w:hint="eastAsia" w:ascii="宋体" w:hAnsi="宋体" w:eastAsia="宋体"/>
          <w:sz w:val="32"/>
          <w:szCs w:val="32"/>
        </w:rPr>
        <w:t>入学方式为“推荐免试”的学生，优先参评一、二等奖助金，依照推免考核成绩确定具体分配次序；</w:t>
      </w:r>
    </w:p>
    <w:p w14:paraId="3A310B88">
      <w:pPr>
        <w:pStyle w:val="14"/>
        <w:numPr>
          <w:ilvl w:val="0"/>
          <w:numId w:val="8"/>
        </w:numPr>
        <w:spacing w:line="540" w:lineRule="atLeast"/>
        <w:ind w:firstLineChars="0"/>
        <w:rPr>
          <w:rFonts w:ascii="宋体" w:hAnsi="宋体" w:eastAsia="宋体"/>
          <w:sz w:val="32"/>
          <w:szCs w:val="32"/>
        </w:rPr>
      </w:pPr>
      <w:r>
        <w:rPr>
          <w:rFonts w:hint="eastAsia" w:ascii="宋体" w:hAnsi="宋体" w:eastAsia="宋体"/>
          <w:sz w:val="32"/>
          <w:szCs w:val="32"/>
        </w:rPr>
        <w:t>入学方式为“全国统考”的学生，依照入学考试成绩排序，参评奖助金。</w:t>
      </w:r>
    </w:p>
    <w:p w14:paraId="237B08FC">
      <w:pPr>
        <w:pStyle w:val="14"/>
        <w:numPr>
          <w:ilvl w:val="0"/>
          <w:numId w:val="7"/>
        </w:numPr>
        <w:spacing w:line="540" w:lineRule="atLeast"/>
        <w:ind w:firstLineChars="0"/>
        <w:rPr>
          <w:rFonts w:ascii="宋体" w:hAnsi="宋体" w:eastAsia="宋体"/>
          <w:sz w:val="32"/>
          <w:szCs w:val="32"/>
        </w:rPr>
      </w:pPr>
      <w:r>
        <w:rPr>
          <w:rFonts w:hint="eastAsia" w:ascii="宋体" w:hAnsi="宋体" w:eastAsia="宋体"/>
          <w:sz w:val="32"/>
          <w:szCs w:val="32"/>
        </w:rPr>
        <w:t>非新生</w:t>
      </w:r>
    </w:p>
    <w:p w14:paraId="2C772689">
      <w:pPr>
        <w:spacing w:line="540" w:lineRule="atLeast"/>
        <w:ind w:firstLine="640" w:firstLineChars="200"/>
        <w:rPr>
          <w:rFonts w:ascii="宋体" w:hAnsi="宋体" w:eastAsia="宋体"/>
          <w:sz w:val="32"/>
          <w:szCs w:val="32"/>
        </w:rPr>
      </w:pPr>
      <w:r>
        <w:rPr>
          <w:rFonts w:hint="eastAsia" w:ascii="宋体" w:hAnsi="宋体" w:eastAsia="宋体"/>
          <w:sz w:val="32"/>
          <w:szCs w:val="32"/>
        </w:rPr>
        <w:t>考虑到较之硕士研究生，博士研究生在学术造诣方面的要求应更高，故硕士、博士研究生综合成绩计算方法分别为：</w:t>
      </w:r>
    </w:p>
    <w:p w14:paraId="5502CFAF">
      <w:pPr>
        <w:spacing w:line="540" w:lineRule="atLeast"/>
        <w:ind w:firstLine="640" w:firstLineChars="200"/>
        <w:rPr>
          <w:rFonts w:ascii="宋体" w:hAnsi="宋体" w:eastAsia="宋体"/>
          <w:sz w:val="32"/>
          <w:szCs w:val="32"/>
        </w:rPr>
      </w:pPr>
      <w:r>
        <w:rPr>
          <w:rFonts w:hint="eastAsia" w:ascii="宋体" w:hAnsi="宋体" w:eastAsia="宋体"/>
          <w:sz w:val="32"/>
          <w:szCs w:val="32"/>
        </w:rPr>
        <w:t>硕士研究生：</w:t>
      </w:r>
      <w:r>
        <w:rPr>
          <w:rFonts w:hint="eastAsia" w:ascii="宋体" w:hAnsi="宋体" w:eastAsia="宋体"/>
          <w:b/>
          <w:bCs/>
          <w:sz w:val="32"/>
          <w:szCs w:val="32"/>
        </w:rPr>
        <w:t>综合成绩﹦学业基本分</w:t>
      </w:r>
      <w:r>
        <w:rPr>
          <w:rFonts w:hint="eastAsia" w:ascii="宋体" w:hAnsi="宋体"/>
          <w:b/>
          <w:bCs/>
          <w:sz w:val="32"/>
          <w:szCs w:val="32"/>
        </w:rPr>
        <w:t xml:space="preserve"> </w:t>
      </w:r>
      <w:r>
        <w:rPr>
          <w:rFonts w:hint="eastAsia" w:ascii="宋体" w:hAnsi="宋体" w:eastAsia="宋体"/>
          <w:b/>
          <w:bCs/>
          <w:sz w:val="32"/>
          <w:szCs w:val="32"/>
        </w:rPr>
        <w:t>＋</w:t>
      </w:r>
      <w:r>
        <w:rPr>
          <w:rFonts w:hint="eastAsia" w:ascii="宋体" w:hAnsi="宋体"/>
          <w:b/>
          <w:bCs/>
          <w:sz w:val="32"/>
          <w:szCs w:val="32"/>
        </w:rPr>
        <w:t xml:space="preserve"> </w:t>
      </w:r>
      <w:r>
        <w:rPr>
          <w:rFonts w:hint="eastAsia" w:ascii="宋体" w:hAnsi="宋体" w:eastAsia="宋体"/>
          <w:b/>
          <w:bCs/>
          <w:sz w:val="32"/>
          <w:szCs w:val="32"/>
        </w:rPr>
        <w:t>附加分。</w:t>
      </w:r>
    </w:p>
    <w:p w14:paraId="2BB400EF">
      <w:pPr>
        <w:spacing w:line="540" w:lineRule="atLeast"/>
        <w:ind w:firstLine="640" w:firstLineChars="200"/>
        <w:rPr>
          <w:rFonts w:ascii="宋体" w:hAnsi="宋体" w:eastAsia="宋体"/>
          <w:sz w:val="32"/>
          <w:szCs w:val="32"/>
        </w:rPr>
      </w:pPr>
      <w:r>
        <w:rPr>
          <w:rFonts w:hint="eastAsia" w:ascii="宋体" w:hAnsi="宋体" w:eastAsia="宋体"/>
          <w:sz w:val="32"/>
          <w:szCs w:val="32"/>
        </w:rPr>
        <w:t>博士研究生：</w:t>
      </w:r>
      <w:r>
        <w:rPr>
          <w:rFonts w:hint="eastAsia" w:ascii="宋体" w:hAnsi="宋体" w:eastAsia="宋体"/>
          <w:b/>
          <w:bCs/>
          <w:sz w:val="32"/>
          <w:szCs w:val="32"/>
        </w:rPr>
        <w:t>综合成绩﹦学业基本分</w:t>
      </w:r>
      <w:r>
        <w:rPr>
          <w:rFonts w:ascii="宋体" w:hAnsi="宋体" w:eastAsia="宋体"/>
          <w:b/>
          <w:bCs/>
          <w:sz w:val="32"/>
          <w:szCs w:val="32"/>
        </w:rPr>
        <w:t>*50%</w:t>
      </w:r>
      <w:r>
        <w:rPr>
          <w:rFonts w:ascii="宋体" w:hAnsi="宋体"/>
          <w:b/>
          <w:bCs/>
          <w:sz w:val="32"/>
          <w:szCs w:val="32"/>
        </w:rPr>
        <w:t xml:space="preserve"> </w:t>
      </w:r>
      <w:r>
        <w:rPr>
          <w:rFonts w:hint="eastAsia" w:ascii="宋体" w:hAnsi="宋体" w:eastAsia="宋体"/>
          <w:b/>
          <w:bCs/>
          <w:sz w:val="32"/>
          <w:szCs w:val="32"/>
        </w:rPr>
        <w:t>＋</w:t>
      </w:r>
      <w:r>
        <w:rPr>
          <w:rFonts w:hint="eastAsia" w:ascii="宋体" w:hAnsi="宋体"/>
          <w:b/>
          <w:bCs/>
          <w:sz w:val="32"/>
          <w:szCs w:val="32"/>
        </w:rPr>
        <w:t xml:space="preserve"> </w:t>
      </w:r>
      <w:r>
        <w:rPr>
          <w:rFonts w:hint="eastAsia" w:ascii="宋体" w:hAnsi="宋体" w:eastAsia="宋体"/>
          <w:b/>
          <w:bCs/>
          <w:sz w:val="32"/>
          <w:szCs w:val="32"/>
        </w:rPr>
        <w:t>附加分</w:t>
      </w:r>
    </w:p>
    <w:p w14:paraId="12D84E6F">
      <w:pPr>
        <w:pStyle w:val="14"/>
        <w:numPr>
          <w:ilvl w:val="0"/>
          <w:numId w:val="8"/>
        </w:numPr>
        <w:spacing w:line="540" w:lineRule="atLeast"/>
        <w:ind w:firstLineChars="0"/>
        <w:rPr>
          <w:rFonts w:ascii="宋体" w:hAnsi="宋体" w:eastAsia="宋体"/>
          <w:sz w:val="32"/>
          <w:szCs w:val="32"/>
        </w:rPr>
      </w:pPr>
      <w:r>
        <w:rPr>
          <w:rFonts w:hint="eastAsia" w:ascii="宋体" w:hAnsi="宋体" w:eastAsia="宋体"/>
          <w:sz w:val="32"/>
          <w:szCs w:val="32"/>
        </w:rPr>
        <w:t>学业基本分计算方法</w:t>
      </w:r>
    </w:p>
    <w:p w14:paraId="058DD08C">
      <w:pPr>
        <w:spacing w:line="540" w:lineRule="atLeast"/>
        <w:ind w:left="643"/>
        <w:rPr>
          <w:rFonts w:ascii="宋体" w:hAnsi="宋体" w:eastAsia="宋体"/>
          <w:sz w:val="32"/>
          <w:szCs w:val="32"/>
        </w:rPr>
      </w:pPr>
      <w:r>
        <w:rPr>
          <w:rFonts w:hint="eastAsia" w:ascii="宋体" w:hAnsi="宋体" w:eastAsia="宋体"/>
          <w:b/>
          <w:sz w:val="32"/>
          <w:szCs w:val="32"/>
        </w:rPr>
        <w:t>学业基本分﹦必修课程平均分</w:t>
      </w:r>
      <w:r>
        <w:rPr>
          <w:rFonts w:hint="eastAsia" w:ascii="宋体" w:hAnsi="宋体"/>
          <w:b/>
          <w:sz w:val="32"/>
          <w:szCs w:val="32"/>
        </w:rPr>
        <w:t xml:space="preserve"> </w:t>
      </w:r>
      <w:r>
        <w:rPr>
          <w:rFonts w:hint="eastAsia" w:ascii="宋体" w:hAnsi="宋体"/>
          <w:b/>
          <w:bCs/>
          <w:sz w:val="32"/>
          <w:szCs w:val="32"/>
        </w:rPr>
        <w:t xml:space="preserve">＋ </w:t>
      </w:r>
      <w:r>
        <w:rPr>
          <w:rFonts w:hint="eastAsia" w:ascii="宋体" w:hAnsi="宋体" w:eastAsia="宋体"/>
          <w:b/>
          <w:sz w:val="32"/>
          <w:szCs w:val="32"/>
        </w:rPr>
        <w:t>选修课程加分。</w:t>
      </w:r>
    </w:p>
    <w:p w14:paraId="4C370227">
      <w:pPr>
        <w:pStyle w:val="14"/>
        <w:numPr>
          <w:ilvl w:val="0"/>
          <w:numId w:val="9"/>
        </w:numPr>
        <w:spacing w:line="540" w:lineRule="atLeast"/>
        <w:ind w:firstLineChars="0"/>
        <w:rPr>
          <w:rFonts w:ascii="宋体" w:hAnsi="宋体" w:eastAsia="宋体"/>
          <w:sz w:val="32"/>
          <w:szCs w:val="32"/>
        </w:rPr>
      </w:pPr>
      <w:r>
        <w:rPr>
          <w:rFonts w:hint="eastAsia" w:ascii="宋体" w:hAnsi="宋体" w:eastAsia="宋体"/>
          <w:sz w:val="32"/>
          <w:szCs w:val="32"/>
        </w:rPr>
        <w:t>仅一年级研究生奖助金的评定时，将课程成绩计入学业基本分；其他年级学生参评奖助金时，一律不计算课程成绩，只考虑附加分。在附加分数相同的情况下，比较参评学生上一学年的综合成绩。</w:t>
      </w:r>
    </w:p>
    <w:p w14:paraId="6EEC90FD">
      <w:pPr>
        <w:pStyle w:val="14"/>
        <w:numPr>
          <w:ilvl w:val="0"/>
          <w:numId w:val="9"/>
        </w:numPr>
        <w:spacing w:line="540" w:lineRule="atLeast"/>
        <w:ind w:firstLineChars="0"/>
        <w:rPr>
          <w:rFonts w:ascii="宋体" w:hAnsi="宋体" w:eastAsia="宋体"/>
          <w:sz w:val="32"/>
          <w:szCs w:val="32"/>
        </w:rPr>
      </w:pPr>
      <w:r>
        <w:rPr>
          <w:rFonts w:hint="eastAsia" w:ascii="宋体" w:hAnsi="宋体" w:eastAsia="宋体"/>
          <w:sz w:val="32"/>
          <w:szCs w:val="32"/>
        </w:rPr>
        <w:t>必修课程平均分计算方式：公共必修课与专业必修课（由导师组开设的课程除外）按学分的加权平均分计算，即各科成绩分别乘以该科的学分，然后求和，最后再除以所修的总必修学分。</w:t>
      </w:r>
    </w:p>
    <w:p w14:paraId="7AB838CC">
      <w:pPr>
        <w:pStyle w:val="14"/>
        <w:numPr>
          <w:ilvl w:val="0"/>
          <w:numId w:val="9"/>
        </w:numPr>
        <w:spacing w:line="540" w:lineRule="atLeast"/>
        <w:ind w:firstLineChars="0"/>
        <w:rPr>
          <w:rFonts w:ascii="宋体" w:hAnsi="宋体" w:eastAsia="宋体"/>
          <w:sz w:val="32"/>
          <w:szCs w:val="32"/>
        </w:rPr>
      </w:pPr>
      <w:r>
        <w:rPr>
          <w:rFonts w:hint="eastAsia" w:ascii="宋体" w:hAnsi="宋体" w:eastAsia="宋体"/>
          <w:sz w:val="32"/>
          <w:szCs w:val="32"/>
        </w:rPr>
        <w:t>专业选修课程加分：每修一门，成绩在</w:t>
      </w:r>
      <w:r>
        <w:rPr>
          <w:rFonts w:ascii="宋体" w:hAnsi="宋体" w:eastAsia="宋体"/>
          <w:sz w:val="32"/>
          <w:szCs w:val="32"/>
        </w:rPr>
        <w:t>70-79</w:t>
      </w:r>
      <w:r>
        <w:rPr>
          <w:rFonts w:hint="eastAsia" w:ascii="宋体" w:hAnsi="宋体" w:eastAsia="宋体"/>
          <w:sz w:val="32"/>
          <w:szCs w:val="32"/>
        </w:rPr>
        <w:t>分段的加</w:t>
      </w:r>
      <w:r>
        <w:rPr>
          <w:rFonts w:ascii="宋体" w:hAnsi="宋体" w:eastAsia="宋体"/>
          <w:sz w:val="32"/>
          <w:szCs w:val="32"/>
        </w:rPr>
        <w:t>0.1</w:t>
      </w:r>
      <w:r>
        <w:rPr>
          <w:rFonts w:hint="eastAsia" w:ascii="宋体" w:hAnsi="宋体" w:eastAsia="宋体"/>
          <w:sz w:val="32"/>
          <w:szCs w:val="32"/>
        </w:rPr>
        <w:t>分，成绩在</w:t>
      </w:r>
      <w:r>
        <w:rPr>
          <w:rFonts w:ascii="宋体" w:hAnsi="宋体" w:eastAsia="宋体"/>
          <w:sz w:val="32"/>
          <w:szCs w:val="32"/>
        </w:rPr>
        <w:t>80-89</w:t>
      </w:r>
      <w:r>
        <w:rPr>
          <w:rFonts w:hint="eastAsia" w:ascii="宋体" w:hAnsi="宋体" w:eastAsia="宋体"/>
          <w:sz w:val="32"/>
          <w:szCs w:val="32"/>
        </w:rPr>
        <w:t>分段的加</w:t>
      </w:r>
      <w:r>
        <w:rPr>
          <w:rFonts w:ascii="宋体" w:hAnsi="宋体" w:eastAsia="宋体"/>
          <w:sz w:val="32"/>
          <w:szCs w:val="32"/>
        </w:rPr>
        <w:t>0.2</w:t>
      </w:r>
      <w:r>
        <w:rPr>
          <w:rFonts w:hint="eastAsia" w:ascii="宋体" w:hAnsi="宋体" w:eastAsia="宋体"/>
          <w:sz w:val="32"/>
          <w:szCs w:val="32"/>
        </w:rPr>
        <w:t>分，成绩在</w:t>
      </w:r>
      <w:r>
        <w:rPr>
          <w:rFonts w:ascii="宋体" w:hAnsi="宋体" w:eastAsia="宋体"/>
          <w:sz w:val="32"/>
          <w:szCs w:val="32"/>
        </w:rPr>
        <w:t>90</w:t>
      </w:r>
      <w:r>
        <w:rPr>
          <w:rFonts w:hint="eastAsia" w:ascii="宋体" w:hAnsi="宋体" w:eastAsia="宋体"/>
          <w:sz w:val="32"/>
          <w:szCs w:val="32"/>
        </w:rPr>
        <w:t>分以上的加</w:t>
      </w:r>
      <w:r>
        <w:rPr>
          <w:rFonts w:ascii="宋体" w:hAnsi="宋体" w:eastAsia="宋体"/>
          <w:sz w:val="32"/>
          <w:szCs w:val="32"/>
        </w:rPr>
        <w:t>0.3</w:t>
      </w:r>
      <w:r>
        <w:rPr>
          <w:rFonts w:hint="eastAsia" w:ascii="宋体" w:hAnsi="宋体" w:eastAsia="宋体"/>
          <w:sz w:val="32"/>
          <w:szCs w:val="32"/>
        </w:rPr>
        <w:t>分。修多门选修课的向上累加，但最多不得超过四门。</w:t>
      </w:r>
    </w:p>
    <w:p w14:paraId="46B5F239">
      <w:pPr>
        <w:pStyle w:val="14"/>
        <w:numPr>
          <w:ilvl w:val="0"/>
          <w:numId w:val="9"/>
        </w:numPr>
        <w:spacing w:line="540" w:lineRule="atLeast"/>
        <w:ind w:firstLineChars="0"/>
        <w:rPr>
          <w:rFonts w:ascii="宋体" w:hAnsi="宋体" w:eastAsia="宋体"/>
          <w:sz w:val="32"/>
          <w:szCs w:val="32"/>
        </w:rPr>
      </w:pPr>
      <w:r>
        <w:rPr>
          <w:rFonts w:hint="eastAsia" w:ascii="宋体" w:hAnsi="宋体" w:eastAsia="宋体"/>
          <w:sz w:val="32"/>
          <w:szCs w:val="32"/>
        </w:rPr>
        <w:t>硕博连读学生，其学业成绩按照同级硕士生计算方法计算。</w:t>
      </w:r>
    </w:p>
    <w:p w14:paraId="761DC16D">
      <w:pPr>
        <w:pStyle w:val="14"/>
        <w:numPr>
          <w:ilvl w:val="0"/>
          <w:numId w:val="8"/>
        </w:numPr>
        <w:spacing w:line="540" w:lineRule="atLeast"/>
        <w:ind w:firstLineChars="0"/>
        <w:rPr>
          <w:rFonts w:ascii="宋体" w:hAnsi="宋体" w:eastAsia="宋体"/>
          <w:sz w:val="32"/>
          <w:szCs w:val="32"/>
        </w:rPr>
      </w:pPr>
      <w:r>
        <w:rPr>
          <w:rFonts w:hint="eastAsia" w:ascii="宋体" w:hAnsi="宋体" w:eastAsia="宋体"/>
          <w:sz w:val="32"/>
          <w:szCs w:val="32"/>
        </w:rPr>
        <w:t>附加分计算细则</w:t>
      </w:r>
    </w:p>
    <w:p w14:paraId="7C638954">
      <w:pPr>
        <w:pStyle w:val="14"/>
        <w:numPr>
          <w:ilvl w:val="1"/>
          <w:numId w:val="8"/>
        </w:numPr>
        <w:spacing w:line="540" w:lineRule="atLeast"/>
        <w:ind w:firstLineChars="0"/>
        <w:rPr>
          <w:rFonts w:ascii="宋体" w:hAnsi="宋体" w:eastAsia="宋体"/>
          <w:sz w:val="32"/>
          <w:szCs w:val="32"/>
        </w:rPr>
      </w:pPr>
      <w:r>
        <w:rPr>
          <w:rFonts w:hint="eastAsia" w:ascii="宋体" w:hAnsi="宋体" w:eastAsia="宋体"/>
          <w:sz w:val="32"/>
          <w:szCs w:val="32"/>
        </w:rPr>
        <w:t>学术论文、学术会议加分</w:t>
      </w:r>
    </w:p>
    <w:p w14:paraId="177684A6">
      <w:pPr>
        <w:pStyle w:val="14"/>
        <w:numPr>
          <w:ilvl w:val="0"/>
          <w:numId w:val="10"/>
        </w:numPr>
        <w:spacing w:line="540" w:lineRule="atLeast"/>
        <w:ind w:firstLineChars="0"/>
        <w:rPr>
          <w:rFonts w:ascii="宋体" w:hAnsi="宋体" w:eastAsia="宋体"/>
          <w:sz w:val="32"/>
          <w:szCs w:val="32"/>
        </w:rPr>
      </w:pPr>
      <w:r>
        <w:rPr>
          <w:rFonts w:hint="eastAsia" w:ascii="宋体" w:hAnsi="宋体" w:eastAsia="宋体"/>
          <w:sz w:val="32"/>
          <w:szCs w:val="32"/>
        </w:rPr>
        <w:t>期刊论文</w:t>
      </w:r>
    </w:p>
    <w:tbl>
      <w:tblPr>
        <w:tblStyle w:val="7"/>
        <w:tblW w:w="82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4536"/>
        <w:gridCol w:w="851"/>
        <w:gridCol w:w="2321"/>
      </w:tblGrid>
      <w:tr w14:paraId="089C5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562" w:type="dxa"/>
            <w:vMerge w:val="restart"/>
            <w:vAlign w:val="center"/>
          </w:tcPr>
          <w:p w14:paraId="4A82C5C4">
            <w:pPr>
              <w:widowControl/>
              <w:snapToGrid w:val="0"/>
              <w:jc w:val="center"/>
              <w:rPr>
                <w:rFonts w:ascii="宋体" w:hAnsi="宋体" w:eastAsia="宋体"/>
                <w:kern w:val="0"/>
                <w:sz w:val="28"/>
                <w:szCs w:val="32"/>
              </w:rPr>
            </w:pPr>
            <w:r>
              <w:rPr>
                <w:rFonts w:hint="eastAsia" w:ascii="宋体" w:hAnsi="宋体" w:eastAsia="宋体"/>
                <w:kern w:val="0"/>
                <w:sz w:val="28"/>
                <w:szCs w:val="32"/>
              </w:rPr>
              <w:t>期</w:t>
            </w:r>
          </w:p>
          <w:p w14:paraId="23B7EF7F">
            <w:pPr>
              <w:widowControl/>
              <w:snapToGrid w:val="0"/>
              <w:jc w:val="center"/>
              <w:rPr>
                <w:rFonts w:ascii="宋体" w:hAnsi="宋体" w:eastAsia="宋体"/>
                <w:kern w:val="0"/>
                <w:sz w:val="28"/>
                <w:szCs w:val="32"/>
              </w:rPr>
            </w:pPr>
            <w:r>
              <w:rPr>
                <w:rFonts w:hint="eastAsia" w:ascii="宋体" w:hAnsi="宋体" w:eastAsia="宋体"/>
                <w:kern w:val="0"/>
                <w:sz w:val="28"/>
                <w:szCs w:val="32"/>
              </w:rPr>
              <w:t>刊</w:t>
            </w:r>
          </w:p>
        </w:tc>
        <w:tc>
          <w:tcPr>
            <w:tcW w:w="4536" w:type="dxa"/>
            <w:vAlign w:val="center"/>
          </w:tcPr>
          <w:p w14:paraId="705BD815">
            <w:pPr>
              <w:widowControl/>
              <w:snapToGrid w:val="0"/>
              <w:spacing w:before="100" w:beforeAutospacing="1" w:after="100" w:afterAutospacing="1"/>
              <w:jc w:val="center"/>
              <w:rPr>
                <w:rFonts w:ascii="宋体" w:hAnsi="宋体" w:eastAsia="宋体"/>
                <w:kern w:val="0"/>
                <w:sz w:val="28"/>
                <w:szCs w:val="32"/>
              </w:rPr>
            </w:pPr>
            <w:r>
              <w:rPr>
                <w:rFonts w:hint="eastAsia" w:ascii="宋体" w:hAnsi="宋体" w:eastAsia="宋体"/>
                <w:kern w:val="0"/>
                <w:sz w:val="28"/>
                <w:szCs w:val="32"/>
              </w:rPr>
              <w:t>期刊类别</w:t>
            </w:r>
          </w:p>
        </w:tc>
        <w:tc>
          <w:tcPr>
            <w:tcW w:w="851" w:type="dxa"/>
            <w:vAlign w:val="center"/>
          </w:tcPr>
          <w:p w14:paraId="03861771">
            <w:pPr>
              <w:widowControl/>
              <w:snapToGrid w:val="0"/>
              <w:jc w:val="center"/>
              <w:rPr>
                <w:rFonts w:ascii="宋体" w:hAnsi="宋体" w:eastAsia="宋体"/>
                <w:kern w:val="0"/>
                <w:sz w:val="28"/>
                <w:szCs w:val="32"/>
              </w:rPr>
            </w:pPr>
            <w:r>
              <w:rPr>
                <w:rFonts w:hint="eastAsia" w:ascii="宋体" w:hAnsi="宋体" w:eastAsia="宋体"/>
                <w:kern w:val="0"/>
                <w:sz w:val="28"/>
                <w:szCs w:val="32"/>
              </w:rPr>
              <w:t>加分</w:t>
            </w:r>
          </w:p>
        </w:tc>
        <w:tc>
          <w:tcPr>
            <w:tcW w:w="2321" w:type="dxa"/>
            <w:vAlign w:val="center"/>
          </w:tcPr>
          <w:p w14:paraId="0CF6E149">
            <w:pPr>
              <w:widowControl/>
              <w:snapToGrid w:val="0"/>
              <w:spacing w:before="100" w:beforeAutospacing="1" w:after="100" w:afterAutospacing="1"/>
              <w:jc w:val="center"/>
              <w:rPr>
                <w:rFonts w:ascii="宋体" w:hAnsi="宋体" w:eastAsia="宋体"/>
                <w:kern w:val="0"/>
                <w:sz w:val="28"/>
                <w:szCs w:val="32"/>
              </w:rPr>
            </w:pPr>
            <w:r>
              <w:rPr>
                <w:rFonts w:hint="eastAsia" w:ascii="宋体" w:hAnsi="宋体" w:eastAsia="宋体"/>
                <w:kern w:val="0"/>
                <w:sz w:val="28"/>
                <w:szCs w:val="32"/>
              </w:rPr>
              <w:t>备注</w:t>
            </w:r>
          </w:p>
        </w:tc>
      </w:tr>
      <w:tr w14:paraId="15628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562" w:type="dxa"/>
            <w:vMerge w:val="continue"/>
          </w:tcPr>
          <w:p w14:paraId="7C04AA6F">
            <w:pPr>
              <w:widowControl/>
              <w:snapToGrid w:val="0"/>
              <w:jc w:val="center"/>
              <w:rPr>
                <w:rFonts w:ascii="宋体" w:hAnsi="宋体" w:eastAsia="宋体"/>
                <w:kern w:val="0"/>
                <w:sz w:val="28"/>
                <w:szCs w:val="32"/>
              </w:rPr>
            </w:pPr>
          </w:p>
        </w:tc>
        <w:tc>
          <w:tcPr>
            <w:tcW w:w="4536" w:type="dxa"/>
            <w:vAlign w:val="center"/>
          </w:tcPr>
          <w:p w14:paraId="731CF8EB">
            <w:pPr>
              <w:widowControl/>
              <w:snapToGrid w:val="0"/>
              <w:spacing w:before="100" w:beforeAutospacing="1" w:after="100" w:afterAutospacing="1"/>
              <w:jc w:val="center"/>
              <w:rPr>
                <w:rFonts w:ascii="宋体" w:hAnsi="宋体" w:eastAsia="宋体"/>
                <w:kern w:val="0"/>
                <w:sz w:val="28"/>
                <w:szCs w:val="32"/>
              </w:rPr>
            </w:pPr>
            <w:r>
              <w:rPr>
                <w:rFonts w:hint="eastAsia" w:ascii="宋体" w:hAnsi="宋体" w:eastAsia="宋体"/>
                <w:kern w:val="0"/>
                <w:sz w:val="28"/>
                <w:szCs w:val="32"/>
              </w:rPr>
              <w:t>软件工程领域顶级期刊</w:t>
            </w:r>
            <w:r>
              <w:rPr>
                <w:rFonts w:ascii="宋体" w:hAnsi="宋体" w:eastAsia="宋体"/>
                <w:kern w:val="0"/>
                <w:sz w:val="28"/>
                <w:szCs w:val="32"/>
                <w:vertAlign w:val="superscript"/>
              </w:rPr>
              <w:t>*</w:t>
            </w:r>
          </w:p>
        </w:tc>
        <w:tc>
          <w:tcPr>
            <w:tcW w:w="851" w:type="dxa"/>
            <w:vAlign w:val="center"/>
          </w:tcPr>
          <w:p w14:paraId="04EAA196">
            <w:pPr>
              <w:widowControl/>
              <w:snapToGrid w:val="0"/>
              <w:spacing w:before="100" w:beforeAutospacing="1" w:after="100" w:afterAutospacing="1"/>
              <w:jc w:val="center"/>
              <w:rPr>
                <w:rFonts w:ascii="宋体" w:hAnsi="宋体" w:eastAsia="宋体"/>
                <w:kern w:val="0"/>
                <w:sz w:val="28"/>
                <w:szCs w:val="32"/>
              </w:rPr>
            </w:pPr>
            <w:r>
              <w:rPr>
                <w:rFonts w:ascii="宋体" w:hAnsi="宋体" w:eastAsia="宋体"/>
                <w:kern w:val="0"/>
                <w:sz w:val="28"/>
                <w:szCs w:val="32"/>
              </w:rPr>
              <w:t>2</w:t>
            </w:r>
            <w:r>
              <w:rPr>
                <w:rFonts w:ascii="宋体" w:hAnsi="宋体"/>
                <w:kern w:val="0"/>
                <w:sz w:val="28"/>
                <w:szCs w:val="32"/>
              </w:rPr>
              <w:t>3</w:t>
            </w:r>
            <w:r>
              <w:rPr>
                <w:rFonts w:hint="eastAsia" w:ascii="宋体" w:hAnsi="宋体" w:eastAsia="宋体"/>
                <w:kern w:val="0"/>
                <w:sz w:val="28"/>
                <w:szCs w:val="32"/>
              </w:rPr>
              <w:t>分</w:t>
            </w:r>
          </w:p>
        </w:tc>
        <w:tc>
          <w:tcPr>
            <w:tcW w:w="2321" w:type="dxa"/>
            <w:vMerge w:val="restart"/>
            <w:vAlign w:val="center"/>
          </w:tcPr>
          <w:p w14:paraId="0F5BBAD1">
            <w:pPr>
              <w:widowControl/>
              <w:snapToGrid w:val="0"/>
              <w:spacing w:before="100" w:beforeAutospacing="1" w:after="100" w:afterAutospacing="1"/>
              <w:jc w:val="left"/>
              <w:rPr>
                <w:rFonts w:ascii="宋体" w:hAnsi="宋体" w:eastAsia="宋体"/>
                <w:kern w:val="0"/>
                <w:sz w:val="28"/>
                <w:szCs w:val="32"/>
              </w:rPr>
            </w:pPr>
            <w:r>
              <w:rPr>
                <w:rFonts w:hint="eastAsia" w:ascii="宋体" w:hAnsi="宋体" w:eastAsia="宋体"/>
                <w:kern w:val="0"/>
                <w:sz w:val="28"/>
                <w:szCs w:val="32"/>
              </w:rPr>
              <w:t>分类参考《软件工程学院硕士研究生申请学位所需学术成果的具体规定》，合作论文作者，具体分值经作者协商后予以分配并签名报学院奖助金评审委员会备案，在总分值不变的条件下，（除导师外）</w:t>
            </w:r>
            <w:r>
              <w:rPr>
                <w:rFonts w:hint="eastAsia" w:ascii="宋体" w:hAnsi="宋体" w:eastAsia="宋体"/>
                <w:kern w:val="0"/>
                <w:sz w:val="28"/>
                <w:szCs w:val="32"/>
                <w:u w:val="none"/>
              </w:rPr>
              <w:t>第二作者的分值不超过总分数的</w:t>
            </w:r>
            <w:r>
              <w:rPr>
                <w:rFonts w:ascii="宋体" w:hAnsi="宋体" w:eastAsia="宋体"/>
                <w:kern w:val="0"/>
                <w:sz w:val="28"/>
                <w:szCs w:val="32"/>
                <w:u w:val="none"/>
              </w:rPr>
              <w:t>30%</w:t>
            </w:r>
            <w:r>
              <w:rPr>
                <w:rFonts w:hint="eastAsia" w:ascii="宋体" w:hAnsi="宋体" w:eastAsia="宋体"/>
                <w:kern w:val="0"/>
                <w:sz w:val="28"/>
                <w:szCs w:val="32"/>
                <w:u w:val="none"/>
              </w:rPr>
              <w:t>，第三及之后作者的分值不超过总分数的</w:t>
            </w:r>
            <w:r>
              <w:rPr>
                <w:rFonts w:ascii="宋体" w:hAnsi="宋体" w:eastAsia="宋体"/>
                <w:kern w:val="0"/>
                <w:sz w:val="28"/>
                <w:szCs w:val="32"/>
                <w:u w:val="none"/>
              </w:rPr>
              <w:t>15%</w:t>
            </w:r>
            <w:r>
              <w:rPr>
                <w:rFonts w:hint="eastAsia" w:ascii="宋体" w:hAnsi="宋体" w:eastAsia="宋体"/>
                <w:kern w:val="0"/>
                <w:sz w:val="28"/>
                <w:szCs w:val="32"/>
                <w:u w:val="none"/>
              </w:rPr>
              <w:t>。</w:t>
            </w:r>
          </w:p>
        </w:tc>
      </w:tr>
      <w:tr w14:paraId="2E922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562" w:type="dxa"/>
            <w:vMerge w:val="continue"/>
          </w:tcPr>
          <w:p w14:paraId="1E9F3220">
            <w:pPr>
              <w:widowControl/>
              <w:snapToGrid w:val="0"/>
              <w:jc w:val="center"/>
              <w:rPr>
                <w:rFonts w:ascii="宋体" w:hAnsi="宋体" w:eastAsia="宋体"/>
                <w:kern w:val="0"/>
                <w:sz w:val="28"/>
                <w:szCs w:val="32"/>
              </w:rPr>
            </w:pPr>
          </w:p>
        </w:tc>
        <w:tc>
          <w:tcPr>
            <w:tcW w:w="4536" w:type="dxa"/>
            <w:vAlign w:val="center"/>
          </w:tcPr>
          <w:p w14:paraId="08F53D26">
            <w:pPr>
              <w:widowControl/>
              <w:snapToGrid w:val="0"/>
              <w:spacing w:before="100" w:beforeAutospacing="1" w:after="100" w:afterAutospacing="1"/>
              <w:jc w:val="center"/>
              <w:rPr>
                <w:rFonts w:ascii="宋体" w:hAnsi="宋体" w:eastAsia="宋体"/>
                <w:color w:val="000000" w:themeColor="text1"/>
                <w:kern w:val="0"/>
                <w:sz w:val="28"/>
                <w:szCs w:val="32"/>
                <w:u w:val="none"/>
                <w14:textFill>
                  <w14:solidFill>
                    <w14:schemeClr w14:val="tx1"/>
                  </w14:solidFill>
                </w14:textFill>
              </w:rPr>
            </w:pPr>
            <w:r>
              <w:rPr>
                <w:rFonts w:hint="eastAsia" w:ascii="宋体" w:hAnsi="宋体" w:eastAsia="宋体"/>
                <w:color w:val="000000" w:themeColor="text1"/>
                <w:kern w:val="0"/>
                <w:sz w:val="28"/>
                <w:szCs w:val="32"/>
                <w:u w:val="none"/>
                <w14:textFill>
                  <w14:solidFill>
                    <w14:schemeClr w14:val="tx1"/>
                  </w14:solidFill>
                </w14:textFill>
              </w:rPr>
              <w:t>其他</w:t>
            </w:r>
            <w:r>
              <w:rPr>
                <w:rFonts w:ascii="宋体" w:hAnsi="宋体" w:eastAsia="宋体"/>
                <w:color w:val="000000" w:themeColor="text1"/>
                <w:kern w:val="0"/>
                <w:sz w:val="28"/>
                <w:szCs w:val="32"/>
                <w:u w:val="none"/>
                <w14:textFill>
                  <w14:solidFill>
                    <w14:schemeClr w14:val="tx1"/>
                  </w14:solidFill>
                </w14:textFill>
              </w:rPr>
              <w:t>A</w:t>
            </w:r>
            <w:r>
              <w:rPr>
                <w:rFonts w:hint="eastAsia" w:ascii="宋体" w:hAnsi="宋体" w:eastAsia="宋体"/>
                <w:color w:val="000000" w:themeColor="text1"/>
                <w:kern w:val="0"/>
                <w:sz w:val="28"/>
                <w:szCs w:val="32"/>
                <w:u w:val="none"/>
                <w14:textFill>
                  <w14:solidFill>
                    <w14:schemeClr w14:val="tx1"/>
                  </w14:solidFill>
                </w14:textFill>
              </w:rPr>
              <w:t>类</w:t>
            </w:r>
          </w:p>
        </w:tc>
        <w:tc>
          <w:tcPr>
            <w:tcW w:w="851" w:type="dxa"/>
            <w:vAlign w:val="center"/>
          </w:tcPr>
          <w:p w14:paraId="1EB43D89">
            <w:pPr>
              <w:widowControl/>
              <w:snapToGrid w:val="0"/>
              <w:spacing w:before="100" w:beforeAutospacing="1" w:after="100" w:afterAutospacing="1"/>
              <w:jc w:val="center"/>
              <w:rPr>
                <w:rFonts w:ascii="宋体" w:hAnsi="宋体" w:eastAsia="宋体"/>
                <w:color w:val="000000" w:themeColor="text1"/>
                <w:kern w:val="0"/>
                <w:sz w:val="28"/>
                <w:szCs w:val="32"/>
                <w:u w:val="none"/>
                <w14:textFill>
                  <w14:solidFill>
                    <w14:schemeClr w14:val="tx1"/>
                  </w14:solidFill>
                </w14:textFill>
              </w:rPr>
            </w:pPr>
            <w:r>
              <w:rPr>
                <w:rFonts w:ascii="宋体" w:hAnsi="宋体" w:eastAsia="宋体"/>
                <w:color w:val="000000" w:themeColor="text1"/>
                <w:kern w:val="0"/>
                <w:sz w:val="28"/>
                <w:szCs w:val="32"/>
                <w:u w:val="none"/>
                <w14:textFill>
                  <w14:solidFill>
                    <w14:schemeClr w14:val="tx1"/>
                  </w14:solidFill>
                </w14:textFill>
              </w:rPr>
              <w:t>18</w:t>
            </w:r>
            <w:r>
              <w:rPr>
                <w:rFonts w:hint="eastAsia" w:ascii="宋体" w:hAnsi="宋体" w:eastAsia="宋体"/>
                <w:color w:val="000000" w:themeColor="text1"/>
                <w:kern w:val="0"/>
                <w:sz w:val="28"/>
                <w:szCs w:val="32"/>
                <w:u w:val="none"/>
                <w14:textFill>
                  <w14:solidFill>
                    <w14:schemeClr w14:val="tx1"/>
                  </w14:solidFill>
                </w14:textFill>
              </w:rPr>
              <w:t>分</w:t>
            </w:r>
          </w:p>
        </w:tc>
        <w:tc>
          <w:tcPr>
            <w:tcW w:w="2321" w:type="dxa"/>
            <w:vMerge w:val="continue"/>
            <w:vAlign w:val="center"/>
          </w:tcPr>
          <w:p w14:paraId="20BC70BC">
            <w:pPr>
              <w:widowControl/>
              <w:snapToGrid w:val="0"/>
              <w:spacing w:before="100" w:beforeAutospacing="1" w:after="100" w:afterAutospacing="1"/>
              <w:jc w:val="left"/>
              <w:rPr>
                <w:rFonts w:ascii="宋体" w:hAnsi="宋体" w:eastAsia="宋体"/>
                <w:kern w:val="0"/>
                <w:sz w:val="28"/>
                <w:szCs w:val="32"/>
              </w:rPr>
            </w:pPr>
          </w:p>
        </w:tc>
      </w:tr>
      <w:tr w14:paraId="25974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562" w:type="dxa"/>
            <w:vMerge w:val="continue"/>
          </w:tcPr>
          <w:p w14:paraId="3D5B2A90">
            <w:pPr>
              <w:widowControl/>
              <w:snapToGrid w:val="0"/>
              <w:spacing w:line="540" w:lineRule="atLeast"/>
              <w:jc w:val="center"/>
              <w:rPr>
                <w:rFonts w:ascii="宋体" w:hAnsi="宋体" w:eastAsia="宋体"/>
                <w:kern w:val="0"/>
                <w:sz w:val="28"/>
                <w:szCs w:val="32"/>
              </w:rPr>
            </w:pPr>
          </w:p>
        </w:tc>
        <w:tc>
          <w:tcPr>
            <w:tcW w:w="4536" w:type="dxa"/>
            <w:vAlign w:val="center"/>
          </w:tcPr>
          <w:p w14:paraId="147CCC35">
            <w:pPr>
              <w:widowControl/>
              <w:snapToGrid w:val="0"/>
              <w:spacing w:before="100" w:beforeAutospacing="1" w:after="100" w:afterAutospacing="1"/>
              <w:jc w:val="center"/>
              <w:rPr>
                <w:rFonts w:ascii="宋体" w:hAnsi="宋体" w:eastAsia="宋体"/>
                <w:color w:val="000000" w:themeColor="text1"/>
                <w:kern w:val="0"/>
                <w:sz w:val="28"/>
                <w:szCs w:val="32"/>
                <w:u w:val="none"/>
                <w14:textFill>
                  <w14:solidFill>
                    <w14:schemeClr w14:val="tx1"/>
                  </w14:solidFill>
                </w14:textFill>
              </w:rPr>
            </w:pPr>
            <w:r>
              <w:rPr>
                <w:rFonts w:ascii="宋体" w:hAnsi="宋体" w:eastAsia="宋体"/>
                <w:color w:val="000000" w:themeColor="text1"/>
                <w:kern w:val="0"/>
                <w:sz w:val="28"/>
                <w:szCs w:val="32"/>
                <w:u w:val="none"/>
                <w14:textFill>
                  <w14:solidFill>
                    <w14:schemeClr w14:val="tx1"/>
                  </w14:solidFill>
                </w14:textFill>
              </w:rPr>
              <w:t>B</w:t>
            </w:r>
            <w:r>
              <w:rPr>
                <w:rFonts w:hint="eastAsia" w:ascii="宋体" w:hAnsi="宋体" w:eastAsia="宋体"/>
                <w:color w:val="000000" w:themeColor="text1"/>
                <w:kern w:val="0"/>
                <w:sz w:val="28"/>
                <w:szCs w:val="32"/>
                <w:u w:val="none"/>
                <w14:textFill>
                  <w14:solidFill>
                    <w14:schemeClr w14:val="tx1"/>
                  </w14:solidFill>
                </w14:textFill>
              </w:rPr>
              <w:t>类</w:t>
            </w:r>
          </w:p>
        </w:tc>
        <w:tc>
          <w:tcPr>
            <w:tcW w:w="851" w:type="dxa"/>
            <w:vMerge w:val="restart"/>
            <w:vAlign w:val="center"/>
          </w:tcPr>
          <w:p w14:paraId="4BEF3749">
            <w:pPr>
              <w:widowControl/>
              <w:snapToGrid w:val="0"/>
              <w:spacing w:before="100" w:beforeAutospacing="1" w:after="100" w:afterAutospacing="1"/>
              <w:jc w:val="center"/>
              <w:rPr>
                <w:rFonts w:ascii="宋体" w:hAnsi="宋体" w:eastAsia="宋体"/>
                <w:color w:val="000000" w:themeColor="text1"/>
                <w:kern w:val="0"/>
                <w:sz w:val="28"/>
                <w:szCs w:val="32"/>
                <w:u w:val="none"/>
                <w14:textFill>
                  <w14:solidFill>
                    <w14:schemeClr w14:val="tx1"/>
                  </w14:solidFill>
                </w14:textFill>
              </w:rPr>
            </w:pPr>
            <w:r>
              <w:rPr>
                <w:rFonts w:ascii="宋体" w:hAnsi="宋体" w:eastAsia="宋体"/>
                <w:color w:val="000000" w:themeColor="text1"/>
                <w:kern w:val="0"/>
                <w:sz w:val="28"/>
                <w:szCs w:val="32"/>
                <w:u w:val="none"/>
                <w14:textFill>
                  <w14:solidFill>
                    <w14:schemeClr w14:val="tx1"/>
                  </w14:solidFill>
                </w14:textFill>
              </w:rPr>
              <w:t>8</w:t>
            </w:r>
            <w:r>
              <w:rPr>
                <w:rFonts w:hint="eastAsia" w:ascii="宋体" w:hAnsi="宋体" w:eastAsia="宋体"/>
                <w:color w:val="000000" w:themeColor="text1"/>
                <w:kern w:val="0"/>
                <w:sz w:val="28"/>
                <w:szCs w:val="32"/>
                <w:u w:val="none"/>
                <w14:textFill>
                  <w14:solidFill>
                    <w14:schemeClr w14:val="tx1"/>
                  </w14:solidFill>
                </w14:textFill>
              </w:rPr>
              <w:t>分</w:t>
            </w:r>
          </w:p>
        </w:tc>
        <w:tc>
          <w:tcPr>
            <w:tcW w:w="2321" w:type="dxa"/>
            <w:vMerge w:val="continue"/>
          </w:tcPr>
          <w:p w14:paraId="2CBAE4DD">
            <w:pPr>
              <w:widowControl/>
              <w:snapToGrid w:val="0"/>
              <w:spacing w:line="540" w:lineRule="atLeast"/>
              <w:jc w:val="left"/>
              <w:rPr>
                <w:rFonts w:ascii="宋体" w:hAnsi="宋体" w:eastAsia="宋体"/>
                <w:kern w:val="0"/>
                <w:sz w:val="28"/>
                <w:szCs w:val="32"/>
              </w:rPr>
            </w:pPr>
          </w:p>
        </w:tc>
      </w:tr>
      <w:tr w14:paraId="3C583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562" w:type="dxa"/>
            <w:vMerge w:val="continue"/>
          </w:tcPr>
          <w:p w14:paraId="320F7D27">
            <w:pPr>
              <w:widowControl/>
              <w:snapToGrid w:val="0"/>
              <w:spacing w:line="540" w:lineRule="atLeast"/>
              <w:jc w:val="center"/>
              <w:rPr>
                <w:rFonts w:ascii="宋体" w:hAnsi="宋体" w:eastAsia="宋体"/>
                <w:kern w:val="0"/>
                <w:sz w:val="28"/>
                <w:szCs w:val="32"/>
              </w:rPr>
            </w:pPr>
          </w:p>
        </w:tc>
        <w:tc>
          <w:tcPr>
            <w:tcW w:w="4536" w:type="dxa"/>
            <w:vAlign w:val="center"/>
          </w:tcPr>
          <w:p w14:paraId="04E0642B">
            <w:pPr>
              <w:widowControl/>
              <w:snapToGrid w:val="0"/>
              <w:spacing w:before="100" w:beforeAutospacing="1" w:after="100" w:afterAutospacing="1"/>
              <w:jc w:val="center"/>
              <w:rPr>
                <w:rFonts w:ascii="宋体" w:hAnsi="宋体" w:eastAsia="宋体"/>
                <w:color w:val="000000" w:themeColor="text1"/>
                <w:kern w:val="0"/>
                <w:sz w:val="28"/>
                <w:szCs w:val="32"/>
                <w:u w:val="none"/>
                <w14:textFill>
                  <w14:solidFill>
                    <w14:schemeClr w14:val="tx1"/>
                  </w14:solidFill>
                </w14:textFill>
              </w:rPr>
            </w:pPr>
            <w:r>
              <w:rPr>
                <w:rFonts w:ascii="宋体" w:hAnsi="宋体" w:eastAsia="宋体"/>
                <w:color w:val="000000" w:themeColor="text1"/>
                <w:kern w:val="0"/>
                <w:sz w:val="28"/>
                <w:szCs w:val="32"/>
                <w:u w:val="none"/>
                <w14:textFill>
                  <w14:solidFill>
                    <w14:schemeClr w14:val="tx1"/>
                  </w14:solidFill>
                </w14:textFill>
              </w:rPr>
              <w:t>C</w:t>
            </w:r>
            <w:r>
              <w:rPr>
                <w:rFonts w:hint="eastAsia" w:ascii="宋体" w:hAnsi="宋体" w:eastAsia="宋体"/>
                <w:color w:val="000000" w:themeColor="text1"/>
                <w:kern w:val="0"/>
                <w:sz w:val="28"/>
                <w:szCs w:val="32"/>
                <w:u w:val="none"/>
                <w14:textFill>
                  <w14:solidFill>
                    <w14:schemeClr w14:val="tx1"/>
                  </w14:solidFill>
                </w14:textFill>
              </w:rPr>
              <w:t>类</w:t>
            </w:r>
          </w:p>
        </w:tc>
        <w:tc>
          <w:tcPr>
            <w:tcW w:w="851" w:type="dxa"/>
            <w:vAlign w:val="center"/>
          </w:tcPr>
          <w:p w14:paraId="10FB986A">
            <w:pPr>
              <w:widowControl/>
              <w:snapToGrid w:val="0"/>
              <w:spacing w:before="100" w:beforeAutospacing="1" w:after="100" w:afterAutospacing="1"/>
              <w:jc w:val="center"/>
              <w:rPr>
                <w:rFonts w:ascii="宋体" w:hAnsi="宋体" w:eastAsia="宋体"/>
                <w:color w:val="000000" w:themeColor="text1"/>
                <w:kern w:val="0"/>
                <w:sz w:val="28"/>
                <w:szCs w:val="32"/>
                <w:u w:val="none"/>
                <w14:textFill>
                  <w14:solidFill>
                    <w14:schemeClr w14:val="tx1"/>
                  </w14:solidFill>
                </w14:textFill>
              </w:rPr>
            </w:pPr>
            <w:r>
              <w:rPr>
                <w:rFonts w:ascii="宋体" w:hAnsi="宋体" w:eastAsia="宋体"/>
                <w:color w:val="000000" w:themeColor="text1"/>
                <w:kern w:val="0"/>
                <w:sz w:val="28"/>
                <w:szCs w:val="32"/>
                <w:u w:val="none"/>
                <w14:textFill>
                  <w14:solidFill>
                    <w14:schemeClr w14:val="tx1"/>
                  </w14:solidFill>
                </w14:textFill>
              </w:rPr>
              <w:t>5</w:t>
            </w:r>
            <w:r>
              <w:rPr>
                <w:rFonts w:hint="eastAsia" w:ascii="宋体" w:hAnsi="宋体" w:eastAsia="宋体"/>
                <w:color w:val="000000" w:themeColor="text1"/>
                <w:kern w:val="0"/>
                <w:sz w:val="28"/>
                <w:szCs w:val="32"/>
                <w:u w:val="none"/>
                <w14:textFill>
                  <w14:solidFill>
                    <w14:schemeClr w14:val="tx1"/>
                  </w14:solidFill>
                </w14:textFill>
              </w:rPr>
              <w:t>分</w:t>
            </w:r>
          </w:p>
        </w:tc>
        <w:tc>
          <w:tcPr>
            <w:tcW w:w="2321" w:type="dxa"/>
            <w:vMerge w:val="continue"/>
          </w:tcPr>
          <w:p w14:paraId="60A4B11E">
            <w:pPr>
              <w:widowControl/>
              <w:snapToGrid w:val="0"/>
              <w:spacing w:line="540" w:lineRule="atLeast"/>
              <w:jc w:val="left"/>
              <w:rPr>
                <w:rFonts w:ascii="宋体" w:hAnsi="宋体" w:eastAsia="宋体"/>
                <w:kern w:val="0"/>
                <w:sz w:val="28"/>
                <w:szCs w:val="32"/>
              </w:rPr>
            </w:pPr>
          </w:p>
        </w:tc>
      </w:tr>
      <w:tr w14:paraId="56C8D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562" w:type="dxa"/>
            <w:vMerge w:val="continue"/>
          </w:tcPr>
          <w:p w14:paraId="590A72B8">
            <w:pPr>
              <w:widowControl/>
              <w:snapToGrid w:val="0"/>
              <w:spacing w:line="540" w:lineRule="atLeast"/>
              <w:jc w:val="center"/>
              <w:rPr>
                <w:rFonts w:ascii="宋体" w:hAnsi="宋体" w:eastAsia="宋体"/>
                <w:kern w:val="0"/>
                <w:sz w:val="28"/>
                <w:szCs w:val="32"/>
              </w:rPr>
            </w:pPr>
          </w:p>
        </w:tc>
        <w:tc>
          <w:tcPr>
            <w:tcW w:w="4536" w:type="dxa"/>
            <w:vAlign w:val="center"/>
          </w:tcPr>
          <w:p w14:paraId="4B2A920F">
            <w:pPr>
              <w:widowControl/>
              <w:snapToGrid w:val="0"/>
              <w:spacing w:before="100" w:beforeAutospacing="1" w:after="100" w:afterAutospacing="1"/>
              <w:jc w:val="center"/>
              <w:rPr>
                <w:rFonts w:ascii="宋体" w:hAnsi="宋体" w:eastAsia="宋体"/>
                <w:kern w:val="0"/>
                <w:sz w:val="28"/>
                <w:szCs w:val="32"/>
              </w:rPr>
            </w:pPr>
            <w:r>
              <w:rPr>
                <w:rFonts w:hint="eastAsia" w:ascii="宋体" w:hAnsi="宋体" w:eastAsia="宋体"/>
                <w:kern w:val="0"/>
                <w:sz w:val="28"/>
                <w:szCs w:val="32"/>
              </w:rPr>
              <w:t>其他中国科学院文献情报中心推荐期刊，</w:t>
            </w:r>
            <w:r>
              <w:rPr>
                <w:rFonts w:ascii="宋体" w:hAnsi="宋体" w:eastAsia="宋体"/>
                <w:kern w:val="0"/>
                <w:sz w:val="28"/>
                <w:szCs w:val="32"/>
              </w:rPr>
              <w:t>EI</w:t>
            </w:r>
            <w:r>
              <w:rPr>
                <w:rFonts w:hint="eastAsia" w:ascii="宋体" w:hAnsi="宋体" w:eastAsia="宋体"/>
                <w:kern w:val="0"/>
                <w:sz w:val="28"/>
                <w:szCs w:val="32"/>
              </w:rPr>
              <w:t>论文、其他中文核心期刊</w:t>
            </w:r>
          </w:p>
        </w:tc>
        <w:tc>
          <w:tcPr>
            <w:tcW w:w="851" w:type="dxa"/>
            <w:vAlign w:val="center"/>
          </w:tcPr>
          <w:p w14:paraId="0A59A30A">
            <w:pPr>
              <w:widowControl/>
              <w:snapToGrid w:val="0"/>
              <w:spacing w:before="100" w:beforeAutospacing="1" w:after="100" w:afterAutospacing="1"/>
              <w:jc w:val="center"/>
              <w:rPr>
                <w:rFonts w:ascii="宋体" w:hAnsi="宋体" w:eastAsia="宋体"/>
                <w:kern w:val="0"/>
                <w:sz w:val="28"/>
                <w:szCs w:val="32"/>
              </w:rPr>
            </w:pPr>
            <w:r>
              <w:rPr>
                <w:rFonts w:ascii="宋体" w:hAnsi="宋体" w:eastAsia="宋体"/>
                <w:kern w:val="0"/>
                <w:sz w:val="28"/>
                <w:szCs w:val="32"/>
              </w:rPr>
              <w:t>2</w:t>
            </w:r>
            <w:r>
              <w:rPr>
                <w:rFonts w:hint="eastAsia" w:ascii="宋体" w:hAnsi="宋体" w:eastAsia="宋体"/>
                <w:kern w:val="0"/>
                <w:sz w:val="28"/>
                <w:szCs w:val="32"/>
              </w:rPr>
              <w:t>分</w:t>
            </w:r>
          </w:p>
        </w:tc>
        <w:tc>
          <w:tcPr>
            <w:tcW w:w="2321" w:type="dxa"/>
            <w:vMerge w:val="continue"/>
          </w:tcPr>
          <w:p w14:paraId="633CDBB8">
            <w:pPr>
              <w:widowControl/>
              <w:snapToGrid w:val="0"/>
              <w:spacing w:line="540" w:lineRule="atLeast"/>
              <w:jc w:val="left"/>
              <w:rPr>
                <w:rFonts w:ascii="宋体" w:hAnsi="宋体" w:eastAsia="宋体"/>
                <w:kern w:val="0"/>
                <w:sz w:val="28"/>
                <w:szCs w:val="32"/>
              </w:rPr>
            </w:pPr>
          </w:p>
        </w:tc>
      </w:tr>
    </w:tbl>
    <w:p w14:paraId="0F2C5DF6">
      <w:pPr>
        <w:pStyle w:val="14"/>
        <w:numPr>
          <w:ilvl w:val="0"/>
          <w:numId w:val="11"/>
        </w:numPr>
        <w:tabs>
          <w:tab w:val="left" w:pos="540"/>
        </w:tabs>
        <w:spacing w:line="540" w:lineRule="atLeast"/>
        <w:ind w:left="630" w:leftChars="300" w:firstLine="0" w:firstLineChars="0"/>
        <w:rPr>
          <w:rFonts w:ascii="宋体" w:hAnsi="宋体" w:eastAsia="宋体"/>
          <w:sz w:val="32"/>
          <w:szCs w:val="32"/>
        </w:rPr>
      </w:pPr>
      <w:r>
        <w:rPr>
          <w:rFonts w:ascii="宋体" w:hAnsi="宋体"/>
          <w:sz w:val="32"/>
          <w:szCs w:val="32"/>
        </w:rPr>
        <w:t xml:space="preserve"> </w:t>
      </w:r>
      <w:r>
        <w:rPr>
          <w:rFonts w:hint="eastAsia" w:ascii="宋体" w:hAnsi="宋体" w:eastAsia="宋体"/>
          <w:sz w:val="32"/>
          <w:szCs w:val="32"/>
        </w:rPr>
        <w:t>作者单位必须第一署名为中山大学。</w:t>
      </w:r>
    </w:p>
    <w:p w14:paraId="0FBA609E">
      <w:pPr>
        <w:pStyle w:val="14"/>
        <w:numPr>
          <w:ilvl w:val="0"/>
          <w:numId w:val="11"/>
        </w:numPr>
        <w:tabs>
          <w:tab w:val="left" w:pos="540"/>
        </w:tabs>
        <w:spacing w:line="540" w:lineRule="atLeast"/>
        <w:ind w:left="630" w:leftChars="300" w:firstLine="0" w:firstLineChars="0"/>
        <w:rPr>
          <w:rFonts w:ascii="宋体" w:hAnsi="宋体" w:eastAsia="宋体"/>
          <w:sz w:val="32"/>
          <w:szCs w:val="32"/>
        </w:rPr>
      </w:pPr>
      <w:r>
        <w:rPr>
          <w:rFonts w:ascii="宋体" w:hAnsi="宋体"/>
          <w:sz w:val="32"/>
          <w:szCs w:val="32"/>
        </w:rPr>
        <w:t xml:space="preserve"> </w:t>
      </w:r>
      <w:r>
        <w:rPr>
          <w:rFonts w:hint="eastAsia" w:ascii="宋体" w:hAnsi="宋体" w:eastAsia="宋体"/>
          <w:sz w:val="32"/>
          <w:szCs w:val="32"/>
        </w:rPr>
        <w:t>论文作者排序的计算，不计指导老师（学生本人的导师或指导小组教师，仅考虑一位）的排名。如：指导教师为第一作者的，第二作者可视同第一作者计分，第三作者可视同第二作者加分；指导教师为第二作者的，第三作者可视同第二作者加分；指导小组教师为第一作者的，导师为第二作者，学生第三作者可视同第二作者计分。</w:t>
      </w:r>
    </w:p>
    <w:p w14:paraId="49603F1E">
      <w:pPr>
        <w:pStyle w:val="14"/>
        <w:numPr>
          <w:ilvl w:val="0"/>
          <w:numId w:val="11"/>
        </w:numPr>
        <w:tabs>
          <w:tab w:val="left" w:pos="540"/>
        </w:tabs>
        <w:spacing w:line="540" w:lineRule="atLeast"/>
        <w:ind w:left="630" w:leftChars="300" w:firstLine="0" w:firstLineChars="0"/>
        <w:rPr>
          <w:rFonts w:ascii="宋体" w:hAnsi="宋体" w:eastAsia="宋体"/>
          <w:sz w:val="32"/>
          <w:szCs w:val="32"/>
        </w:rPr>
      </w:pPr>
      <w:r>
        <w:rPr>
          <w:rFonts w:ascii="宋体" w:hAnsi="宋体" w:eastAsia="宋体"/>
          <w:sz w:val="32"/>
          <w:szCs w:val="32"/>
        </w:rPr>
        <w:t xml:space="preserve"> </w:t>
      </w:r>
      <w:r>
        <w:rPr>
          <w:rFonts w:hint="eastAsia" w:ascii="宋体" w:hAnsi="宋体" w:eastAsia="宋体"/>
          <w:sz w:val="32"/>
          <w:szCs w:val="32"/>
        </w:rPr>
        <w:t>未发表但已录用的论文须有录用证明，或者是编辑部有正式函件明确说明论文经作者修改后即可发表，但发表后，需要补交论文目录、首页。如提交的证明材料不是编辑部的原件，或原件无加盖公章，则必须要由导师签名证实。</w:t>
      </w:r>
    </w:p>
    <w:p w14:paraId="6B6E4DFF">
      <w:pPr>
        <w:pStyle w:val="14"/>
        <w:numPr>
          <w:ilvl w:val="0"/>
          <w:numId w:val="11"/>
        </w:numPr>
        <w:tabs>
          <w:tab w:val="left" w:pos="540"/>
        </w:tabs>
        <w:spacing w:line="540" w:lineRule="atLeast"/>
        <w:ind w:left="630" w:leftChars="300" w:firstLine="0" w:firstLineChars="0"/>
        <w:rPr>
          <w:rFonts w:ascii="宋体" w:hAnsi="宋体" w:eastAsia="宋体"/>
          <w:sz w:val="32"/>
          <w:szCs w:val="32"/>
        </w:rPr>
      </w:pPr>
      <w:r>
        <w:rPr>
          <w:rFonts w:ascii="宋体" w:hAnsi="宋体" w:eastAsia="宋体"/>
          <w:sz w:val="32"/>
          <w:szCs w:val="32"/>
        </w:rPr>
        <w:t xml:space="preserve"> </w:t>
      </w:r>
      <w:r>
        <w:rPr>
          <w:rFonts w:hint="eastAsia" w:ascii="宋体" w:hAnsi="宋体" w:eastAsia="宋体"/>
          <w:sz w:val="32"/>
          <w:szCs w:val="32"/>
        </w:rPr>
        <w:t>同一篇论文只能作为一个学年的奖助金申请材料加分一次。</w:t>
      </w:r>
    </w:p>
    <w:p w14:paraId="76A582DF">
      <w:pPr>
        <w:pStyle w:val="14"/>
        <w:numPr>
          <w:ilvl w:val="0"/>
          <w:numId w:val="11"/>
        </w:numPr>
        <w:tabs>
          <w:tab w:val="left" w:pos="540"/>
        </w:tabs>
        <w:spacing w:line="540" w:lineRule="atLeast"/>
        <w:ind w:left="630" w:leftChars="300" w:firstLine="0" w:firstLineChars="0"/>
        <w:rPr>
          <w:rFonts w:ascii="宋体" w:hAnsi="宋体" w:eastAsia="宋体"/>
          <w:sz w:val="32"/>
          <w:szCs w:val="32"/>
        </w:rPr>
      </w:pPr>
      <w:r>
        <w:rPr>
          <w:rFonts w:ascii="宋体" w:hAnsi="宋体" w:eastAsia="宋体"/>
          <w:sz w:val="32"/>
          <w:szCs w:val="32"/>
        </w:rPr>
        <w:t xml:space="preserve"> </w:t>
      </w:r>
      <w:r>
        <w:rPr>
          <w:rFonts w:hint="eastAsia" w:ascii="宋体" w:hAnsi="宋体" w:eastAsia="宋体"/>
          <w:sz w:val="32"/>
          <w:szCs w:val="32"/>
        </w:rPr>
        <w:t>参加学术会议提交的论文需被编入有</w:t>
      </w:r>
      <w:r>
        <w:rPr>
          <w:rFonts w:ascii="宋体" w:hAnsi="宋体" w:eastAsia="宋体"/>
          <w:sz w:val="32"/>
          <w:szCs w:val="32"/>
        </w:rPr>
        <w:t>ISBN</w:t>
      </w:r>
      <w:r>
        <w:rPr>
          <w:rFonts w:hint="eastAsia" w:ascii="宋体" w:hAnsi="宋体" w:eastAsia="宋体"/>
          <w:sz w:val="32"/>
          <w:szCs w:val="32"/>
        </w:rPr>
        <w:t>号的论文集方可计分。</w:t>
      </w:r>
    </w:p>
    <w:p w14:paraId="01EA80E3">
      <w:pPr>
        <w:numPr>
          <w:ilvl w:val="0"/>
          <w:numId w:val="11"/>
        </w:numPr>
        <w:spacing w:line="540" w:lineRule="atLeast"/>
        <w:ind w:left="630" w:leftChars="300"/>
        <w:rPr>
          <w:rFonts w:ascii="宋体" w:hAnsi="宋体" w:eastAsia="宋体"/>
          <w:sz w:val="32"/>
          <w:szCs w:val="32"/>
        </w:rPr>
      </w:pPr>
      <w:r>
        <w:rPr>
          <w:rFonts w:ascii="宋体" w:hAnsi="宋体"/>
          <w:sz w:val="32"/>
          <w:szCs w:val="32"/>
        </w:rPr>
        <w:t xml:space="preserve"> </w:t>
      </w:r>
      <w:r>
        <w:rPr>
          <w:rFonts w:hint="eastAsia" w:ascii="宋体" w:hAnsi="宋体" w:eastAsia="宋体"/>
          <w:sz w:val="32"/>
          <w:szCs w:val="32"/>
        </w:rPr>
        <w:t>论文内容必须与专业和学术相关的，方可计分。若有特殊情况，由软件工程学院研究生奖助金评审委员会指定的专家组共同认定。</w:t>
      </w:r>
    </w:p>
    <w:p w14:paraId="2FD1D864">
      <w:pPr>
        <w:numPr>
          <w:ilvl w:val="0"/>
          <w:numId w:val="11"/>
        </w:numPr>
        <w:spacing w:line="540" w:lineRule="atLeast"/>
        <w:ind w:left="630" w:leftChars="300"/>
        <w:rPr>
          <w:rFonts w:ascii="宋体" w:hAnsi="宋体" w:eastAsia="宋体"/>
          <w:sz w:val="32"/>
          <w:szCs w:val="32"/>
        </w:rPr>
      </w:pPr>
      <w:r>
        <w:rPr>
          <w:rFonts w:ascii="宋体" w:hAnsi="宋体" w:eastAsia="宋体"/>
          <w:sz w:val="32"/>
          <w:szCs w:val="32"/>
        </w:rPr>
        <w:t xml:space="preserve"> </w:t>
      </w:r>
      <w:r>
        <w:rPr>
          <w:rFonts w:hint="eastAsia" w:ascii="宋体" w:hAnsi="宋体" w:eastAsia="宋体"/>
          <w:sz w:val="32"/>
          <w:szCs w:val="32"/>
        </w:rPr>
        <w:t>以上符合加分条件的文章中，若获得最佳论文奖，则按该文章所处分级的上一级加分（例如发表在</w:t>
      </w:r>
      <w:r>
        <w:rPr>
          <w:rFonts w:ascii="宋体" w:hAnsi="宋体" w:eastAsia="宋体"/>
          <w:sz w:val="32"/>
          <w:szCs w:val="32"/>
        </w:rPr>
        <w:t>B</w:t>
      </w:r>
      <w:r>
        <w:rPr>
          <w:rFonts w:hint="eastAsia" w:ascii="宋体" w:hAnsi="宋体" w:eastAsia="宋体"/>
          <w:sz w:val="32"/>
          <w:szCs w:val="32"/>
        </w:rPr>
        <w:t>类的期刊如获得最佳论文奖，则记为加</w:t>
      </w:r>
      <w:r>
        <w:rPr>
          <w:rFonts w:ascii="宋体" w:hAnsi="宋体" w:eastAsia="宋体"/>
          <w:sz w:val="32"/>
          <w:szCs w:val="32"/>
        </w:rPr>
        <w:t>18</w:t>
      </w:r>
      <w:r>
        <w:rPr>
          <w:rFonts w:hint="eastAsia" w:ascii="宋体" w:hAnsi="宋体" w:eastAsia="宋体"/>
          <w:sz w:val="32"/>
          <w:szCs w:val="32"/>
        </w:rPr>
        <w:t>分）；若获奖文章已处在最高加分级别，则额外再加</w:t>
      </w:r>
      <w:r>
        <w:rPr>
          <w:rFonts w:ascii="宋体" w:hAnsi="宋体" w:eastAsia="宋体"/>
          <w:sz w:val="32"/>
          <w:szCs w:val="32"/>
        </w:rPr>
        <w:t>5</w:t>
      </w:r>
      <w:r>
        <w:rPr>
          <w:rFonts w:hint="eastAsia" w:ascii="宋体" w:hAnsi="宋体" w:eastAsia="宋体"/>
          <w:sz w:val="32"/>
          <w:szCs w:val="32"/>
        </w:rPr>
        <w:t>分（即发表在</w:t>
      </w:r>
      <w:r>
        <w:rPr>
          <w:rFonts w:hint="eastAsia" w:ascii="宋体" w:hAnsi="宋体" w:eastAsia="宋体"/>
          <w:color w:val="000000" w:themeColor="text1"/>
          <w:sz w:val="32"/>
          <w:szCs w:val="32"/>
          <w:u w:val="none"/>
          <w14:textFill>
            <w14:solidFill>
              <w14:schemeClr w14:val="tx1"/>
            </w14:solidFill>
          </w14:textFill>
        </w:rPr>
        <w:t>软件工程领域顶级期刊</w:t>
      </w:r>
      <w:r>
        <w:rPr>
          <w:rFonts w:ascii="宋体" w:hAnsi="宋体" w:eastAsia="宋体"/>
          <w:color w:val="000000" w:themeColor="text1"/>
          <w:sz w:val="32"/>
          <w:szCs w:val="32"/>
          <w:u w:val="none"/>
          <w:vertAlign w:val="superscript"/>
          <w14:textFill>
            <w14:solidFill>
              <w14:schemeClr w14:val="tx1"/>
            </w14:solidFill>
          </w14:textFill>
        </w:rPr>
        <w:t>*</w:t>
      </w:r>
      <w:r>
        <w:rPr>
          <w:rFonts w:hint="eastAsia" w:ascii="宋体" w:hAnsi="宋体" w:eastAsia="宋体"/>
          <w:sz w:val="32"/>
          <w:szCs w:val="32"/>
        </w:rPr>
        <w:t>的文章如获最佳论文奖，则加</w:t>
      </w:r>
      <w:r>
        <w:rPr>
          <w:rFonts w:ascii="宋体" w:hAnsi="宋体"/>
          <w:sz w:val="32"/>
          <w:szCs w:val="32"/>
        </w:rPr>
        <w:t>28</w:t>
      </w:r>
      <w:r>
        <w:rPr>
          <w:rFonts w:hint="eastAsia" w:ascii="宋体" w:hAnsi="宋体" w:eastAsia="宋体"/>
          <w:sz w:val="32"/>
          <w:szCs w:val="32"/>
        </w:rPr>
        <w:t>分）。</w:t>
      </w:r>
    </w:p>
    <w:p w14:paraId="1EBBA670">
      <w:pPr>
        <w:spacing w:line="540" w:lineRule="atLeast"/>
        <w:ind w:left="630" w:leftChars="300"/>
        <w:rPr>
          <w:rFonts w:ascii="宋体" w:hAnsi="宋体" w:eastAsia="宋体"/>
          <w:sz w:val="32"/>
          <w:szCs w:val="32"/>
        </w:rPr>
      </w:pPr>
      <w:r>
        <w:rPr>
          <w:rFonts w:ascii="宋体" w:hAnsi="宋体" w:eastAsia="宋体"/>
          <w:sz w:val="32"/>
          <w:szCs w:val="32"/>
        </w:rPr>
        <w:t>vii</w:t>
      </w:r>
      <w:r>
        <w:rPr>
          <w:rFonts w:ascii="宋体" w:hAnsi="宋体"/>
          <w:sz w:val="32"/>
          <w:szCs w:val="32"/>
        </w:rPr>
        <w:t>i</w:t>
      </w:r>
      <w:r>
        <w:rPr>
          <w:rFonts w:ascii="宋体" w:hAnsi="宋体" w:eastAsia="宋体"/>
          <w:sz w:val="32"/>
          <w:szCs w:val="32"/>
        </w:rPr>
        <w:t xml:space="preserve">. </w:t>
      </w:r>
      <w:r>
        <w:rPr>
          <w:rFonts w:hint="eastAsia" w:ascii="宋体" w:hAnsi="宋体" w:eastAsia="宋体"/>
          <w:sz w:val="32"/>
          <w:szCs w:val="32"/>
        </w:rPr>
        <w:t>软件工程领域顶级期刊</w:t>
      </w:r>
      <w:r>
        <w:rPr>
          <w:rFonts w:ascii="宋体" w:hAnsi="宋体" w:eastAsia="宋体"/>
          <w:sz w:val="32"/>
          <w:szCs w:val="32"/>
          <w:vertAlign w:val="superscript"/>
        </w:rPr>
        <w:t>*</w:t>
      </w:r>
      <w:r>
        <w:rPr>
          <w:rFonts w:hint="eastAsia" w:ascii="宋体" w:hAnsi="宋体" w:eastAsia="宋体"/>
          <w:sz w:val="32"/>
          <w:szCs w:val="32"/>
        </w:rPr>
        <w:t>包括</w:t>
      </w:r>
      <w:r>
        <w:rPr>
          <w:rFonts w:hint="eastAsia" w:ascii="宋体" w:hAnsi="宋体"/>
          <w:sz w:val="32"/>
          <w:szCs w:val="32"/>
        </w:rPr>
        <w:t>：</w:t>
      </w:r>
      <w:r>
        <w:rPr>
          <w:rFonts w:ascii="宋体" w:hAnsi="宋体" w:eastAsia="宋体"/>
          <w:sz w:val="32"/>
          <w:szCs w:val="32"/>
        </w:rPr>
        <w:t>“ACM Transactions on Software Engineering and Methodology (TOSEM)”</w:t>
      </w:r>
      <w:r>
        <w:rPr>
          <w:rFonts w:hint="eastAsia" w:ascii="宋体" w:hAnsi="宋体" w:eastAsia="宋体"/>
          <w:sz w:val="32"/>
          <w:szCs w:val="32"/>
        </w:rPr>
        <w:t>，</w:t>
      </w:r>
      <w:r>
        <w:rPr>
          <w:rFonts w:ascii="宋体" w:hAnsi="宋体" w:eastAsia="宋体"/>
          <w:sz w:val="32"/>
          <w:szCs w:val="32"/>
        </w:rPr>
        <w:t>“IEEE Transactions on Software Engineering (TSE)”</w:t>
      </w:r>
      <w:r>
        <w:rPr>
          <w:rFonts w:hint="eastAsia" w:ascii="宋体" w:hAnsi="宋体" w:eastAsia="宋体"/>
          <w:sz w:val="32"/>
          <w:szCs w:val="32"/>
        </w:rPr>
        <w:t>。</w:t>
      </w:r>
    </w:p>
    <w:p w14:paraId="3280AFBD">
      <w:pPr>
        <w:pStyle w:val="14"/>
        <w:numPr>
          <w:ilvl w:val="0"/>
          <w:numId w:val="10"/>
        </w:numPr>
        <w:spacing w:line="540" w:lineRule="atLeast"/>
        <w:ind w:firstLineChars="0"/>
        <w:rPr>
          <w:rFonts w:ascii="宋体" w:hAnsi="宋体" w:eastAsia="宋体"/>
          <w:sz w:val="32"/>
          <w:szCs w:val="32"/>
        </w:rPr>
      </w:pPr>
      <w:r>
        <w:rPr>
          <w:rFonts w:hint="eastAsia" w:ascii="宋体" w:hAnsi="宋体" w:eastAsia="宋体"/>
          <w:sz w:val="32"/>
          <w:szCs w:val="32"/>
        </w:rPr>
        <w:t>会议论文</w:t>
      </w:r>
    </w:p>
    <w:tbl>
      <w:tblPr>
        <w:tblStyle w:val="7"/>
        <w:tblW w:w="82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2649"/>
        <w:gridCol w:w="1470"/>
        <w:gridCol w:w="3353"/>
      </w:tblGrid>
      <w:tr w14:paraId="0411C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798" w:type="dxa"/>
            <w:vMerge w:val="restart"/>
            <w:tcBorders>
              <w:top w:val="single" w:color="auto" w:sz="4" w:space="0"/>
              <w:left w:val="single" w:color="auto" w:sz="4" w:space="0"/>
              <w:bottom w:val="single" w:color="auto" w:sz="4" w:space="0"/>
              <w:right w:val="single" w:color="auto" w:sz="4" w:space="0"/>
            </w:tcBorders>
            <w:vAlign w:val="center"/>
          </w:tcPr>
          <w:p w14:paraId="742AE2D0">
            <w:pPr>
              <w:widowControl/>
              <w:snapToGrid w:val="0"/>
              <w:spacing w:line="540" w:lineRule="atLeast"/>
              <w:jc w:val="center"/>
              <w:rPr>
                <w:rFonts w:ascii="宋体" w:hAnsi="宋体" w:eastAsia="宋体"/>
                <w:kern w:val="0"/>
                <w:sz w:val="28"/>
                <w:szCs w:val="32"/>
              </w:rPr>
            </w:pPr>
            <w:r>
              <w:rPr>
                <w:rFonts w:hint="eastAsia" w:ascii="宋体" w:hAnsi="宋体" w:eastAsia="宋体"/>
                <w:kern w:val="0"/>
                <w:sz w:val="28"/>
                <w:szCs w:val="32"/>
              </w:rPr>
              <w:t>会</w:t>
            </w:r>
          </w:p>
          <w:p w14:paraId="256F9B02">
            <w:pPr>
              <w:widowControl/>
              <w:snapToGrid w:val="0"/>
              <w:spacing w:line="540" w:lineRule="atLeast"/>
              <w:jc w:val="center"/>
              <w:rPr>
                <w:rFonts w:ascii="宋体" w:hAnsi="宋体" w:eastAsia="宋体"/>
                <w:kern w:val="0"/>
                <w:sz w:val="28"/>
                <w:szCs w:val="32"/>
              </w:rPr>
            </w:pPr>
            <w:r>
              <w:rPr>
                <w:rFonts w:hint="eastAsia" w:ascii="宋体" w:hAnsi="宋体" w:eastAsia="宋体"/>
                <w:kern w:val="0"/>
                <w:sz w:val="28"/>
                <w:szCs w:val="32"/>
              </w:rPr>
              <w:t>议</w:t>
            </w:r>
          </w:p>
        </w:tc>
        <w:tc>
          <w:tcPr>
            <w:tcW w:w="2649" w:type="dxa"/>
            <w:tcBorders>
              <w:left w:val="single" w:color="auto" w:sz="4" w:space="0"/>
            </w:tcBorders>
            <w:vAlign w:val="center"/>
          </w:tcPr>
          <w:p w14:paraId="44E71EAC">
            <w:pPr>
              <w:widowControl/>
              <w:snapToGrid w:val="0"/>
              <w:spacing w:line="540" w:lineRule="atLeast"/>
              <w:jc w:val="center"/>
              <w:rPr>
                <w:rFonts w:ascii="宋体" w:hAnsi="宋体" w:eastAsia="宋体"/>
                <w:kern w:val="0"/>
                <w:sz w:val="28"/>
                <w:szCs w:val="32"/>
              </w:rPr>
            </w:pPr>
            <w:r>
              <w:rPr>
                <w:rFonts w:hint="eastAsia" w:ascii="宋体" w:hAnsi="宋体" w:eastAsia="宋体"/>
                <w:kern w:val="0"/>
                <w:sz w:val="28"/>
                <w:szCs w:val="32"/>
              </w:rPr>
              <w:t>会议类别</w:t>
            </w:r>
          </w:p>
        </w:tc>
        <w:tc>
          <w:tcPr>
            <w:tcW w:w="1470" w:type="dxa"/>
            <w:vAlign w:val="center"/>
          </w:tcPr>
          <w:p w14:paraId="0C5AF2DE">
            <w:pPr>
              <w:widowControl/>
              <w:snapToGrid w:val="0"/>
              <w:spacing w:line="540" w:lineRule="atLeast"/>
              <w:jc w:val="center"/>
              <w:rPr>
                <w:rFonts w:ascii="宋体" w:hAnsi="宋体" w:eastAsia="宋体"/>
                <w:kern w:val="0"/>
                <w:sz w:val="28"/>
                <w:szCs w:val="32"/>
              </w:rPr>
            </w:pPr>
            <w:r>
              <w:rPr>
                <w:rFonts w:hint="eastAsia" w:ascii="宋体" w:hAnsi="宋体" w:eastAsia="宋体"/>
                <w:kern w:val="0"/>
                <w:sz w:val="28"/>
                <w:szCs w:val="32"/>
              </w:rPr>
              <w:t>加分分值</w:t>
            </w:r>
          </w:p>
        </w:tc>
        <w:tc>
          <w:tcPr>
            <w:tcW w:w="3353" w:type="dxa"/>
            <w:vAlign w:val="center"/>
          </w:tcPr>
          <w:p w14:paraId="1E9A4182">
            <w:pPr>
              <w:widowControl/>
              <w:snapToGrid w:val="0"/>
              <w:spacing w:line="540" w:lineRule="atLeast"/>
              <w:jc w:val="center"/>
              <w:rPr>
                <w:rFonts w:ascii="宋体" w:hAnsi="宋体" w:eastAsia="宋体"/>
                <w:kern w:val="0"/>
                <w:sz w:val="28"/>
                <w:szCs w:val="32"/>
              </w:rPr>
            </w:pPr>
            <w:r>
              <w:rPr>
                <w:rFonts w:hint="eastAsia" w:ascii="宋体" w:hAnsi="宋体" w:eastAsia="宋体"/>
                <w:kern w:val="0"/>
                <w:sz w:val="28"/>
                <w:szCs w:val="32"/>
              </w:rPr>
              <w:t>备注</w:t>
            </w:r>
          </w:p>
        </w:tc>
      </w:tr>
      <w:tr w14:paraId="763B6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98" w:type="dxa"/>
            <w:vMerge w:val="continue"/>
            <w:tcBorders>
              <w:top w:val="single" w:color="auto" w:sz="4" w:space="0"/>
              <w:left w:val="single" w:color="auto" w:sz="4" w:space="0"/>
              <w:bottom w:val="single" w:color="auto" w:sz="4" w:space="0"/>
              <w:right w:val="single" w:color="auto" w:sz="4" w:space="0"/>
            </w:tcBorders>
          </w:tcPr>
          <w:p w14:paraId="17A9739A">
            <w:pPr>
              <w:widowControl/>
              <w:snapToGrid w:val="0"/>
              <w:spacing w:line="540" w:lineRule="atLeast"/>
              <w:jc w:val="center"/>
              <w:rPr>
                <w:rFonts w:ascii="宋体" w:hAnsi="宋体" w:eastAsia="宋体"/>
                <w:kern w:val="0"/>
                <w:sz w:val="28"/>
                <w:szCs w:val="32"/>
              </w:rPr>
            </w:pPr>
          </w:p>
        </w:tc>
        <w:tc>
          <w:tcPr>
            <w:tcW w:w="2649" w:type="dxa"/>
            <w:tcBorders>
              <w:left w:val="single" w:color="auto" w:sz="4" w:space="0"/>
            </w:tcBorders>
            <w:vAlign w:val="center"/>
          </w:tcPr>
          <w:p w14:paraId="4084F16D">
            <w:pPr>
              <w:widowControl/>
              <w:snapToGrid w:val="0"/>
              <w:spacing w:line="540" w:lineRule="atLeast"/>
              <w:jc w:val="center"/>
              <w:rPr>
                <w:rFonts w:ascii="宋体" w:hAnsi="宋体" w:eastAsia="宋体"/>
                <w:kern w:val="0"/>
                <w:sz w:val="28"/>
                <w:szCs w:val="32"/>
              </w:rPr>
            </w:pPr>
            <w:r>
              <w:rPr>
                <w:rFonts w:hint="eastAsia" w:ascii="宋体" w:hAnsi="宋体" w:eastAsia="宋体"/>
                <w:kern w:val="0"/>
                <w:sz w:val="28"/>
                <w:szCs w:val="32"/>
              </w:rPr>
              <w:t>软件工程领域顶会</w:t>
            </w:r>
            <w:r>
              <w:rPr>
                <w:rFonts w:ascii="宋体" w:hAnsi="宋体" w:eastAsia="宋体"/>
                <w:kern w:val="0"/>
                <w:sz w:val="28"/>
                <w:szCs w:val="32"/>
                <w:vertAlign w:val="superscript"/>
              </w:rPr>
              <w:t>*</w:t>
            </w:r>
          </w:p>
        </w:tc>
        <w:tc>
          <w:tcPr>
            <w:tcW w:w="1470" w:type="dxa"/>
            <w:vAlign w:val="center"/>
          </w:tcPr>
          <w:p w14:paraId="5C600BE1">
            <w:pPr>
              <w:widowControl/>
              <w:snapToGrid w:val="0"/>
              <w:spacing w:line="540" w:lineRule="atLeast"/>
              <w:jc w:val="center"/>
              <w:rPr>
                <w:rFonts w:ascii="宋体" w:hAnsi="宋体" w:eastAsia="宋体"/>
                <w:kern w:val="0"/>
                <w:sz w:val="28"/>
                <w:szCs w:val="32"/>
              </w:rPr>
            </w:pPr>
            <w:r>
              <w:rPr>
                <w:rFonts w:ascii="宋体" w:hAnsi="宋体" w:eastAsia="宋体"/>
                <w:kern w:val="0"/>
                <w:sz w:val="28"/>
                <w:szCs w:val="32"/>
              </w:rPr>
              <w:t>2</w:t>
            </w:r>
            <w:r>
              <w:rPr>
                <w:rFonts w:ascii="宋体" w:hAnsi="宋体"/>
                <w:kern w:val="0"/>
                <w:sz w:val="28"/>
                <w:szCs w:val="32"/>
              </w:rPr>
              <w:t>3</w:t>
            </w:r>
            <w:r>
              <w:rPr>
                <w:rFonts w:hint="eastAsia" w:ascii="宋体" w:hAnsi="宋体" w:eastAsia="宋体"/>
                <w:kern w:val="0"/>
                <w:sz w:val="28"/>
                <w:szCs w:val="32"/>
              </w:rPr>
              <w:t>分</w:t>
            </w:r>
          </w:p>
        </w:tc>
        <w:tc>
          <w:tcPr>
            <w:tcW w:w="3353" w:type="dxa"/>
            <w:vMerge w:val="restart"/>
            <w:vAlign w:val="center"/>
          </w:tcPr>
          <w:p w14:paraId="54A337FC">
            <w:pPr>
              <w:tabs>
                <w:tab w:val="left" w:pos="540"/>
              </w:tabs>
              <w:spacing w:line="540" w:lineRule="atLeast"/>
              <w:jc w:val="left"/>
              <w:rPr>
                <w:rFonts w:ascii="宋体" w:hAnsi="宋体" w:eastAsia="宋体"/>
                <w:sz w:val="28"/>
                <w:szCs w:val="32"/>
              </w:rPr>
            </w:pPr>
            <w:r>
              <w:rPr>
                <w:rFonts w:hint="eastAsia" w:ascii="宋体" w:hAnsi="宋体" w:eastAsia="宋体"/>
                <w:kern w:val="0"/>
                <w:sz w:val="28"/>
                <w:szCs w:val="32"/>
              </w:rPr>
              <w:t>分类参考《软件工程学院硕士研究生申请学位所需学术成果的具体规定》</w:t>
            </w:r>
          </w:p>
          <w:p w14:paraId="65B37EAD">
            <w:pPr>
              <w:tabs>
                <w:tab w:val="left" w:pos="540"/>
              </w:tabs>
              <w:spacing w:line="540" w:lineRule="atLeast"/>
              <w:jc w:val="left"/>
              <w:rPr>
                <w:rFonts w:ascii="宋体" w:hAnsi="宋体" w:eastAsia="宋体"/>
                <w:sz w:val="28"/>
                <w:szCs w:val="32"/>
              </w:rPr>
            </w:pPr>
            <w:r>
              <w:rPr>
                <w:rFonts w:ascii="宋体" w:hAnsi="宋体" w:eastAsia="宋体"/>
                <w:sz w:val="28"/>
                <w:szCs w:val="32"/>
              </w:rPr>
              <w:t>1.</w:t>
            </w:r>
            <w:r>
              <w:rPr>
                <w:rFonts w:hint="eastAsia" w:ascii="宋体" w:hAnsi="宋体" w:eastAsia="宋体"/>
                <w:sz w:val="28"/>
                <w:szCs w:val="32"/>
              </w:rPr>
              <w:t>合作论文作者的具体分值分配参考上表期刊论文的分配办法。</w:t>
            </w:r>
            <w:r>
              <w:rPr>
                <w:rFonts w:ascii="宋体" w:hAnsi="宋体" w:eastAsia="宋体"/>
                <w:sz w:val="28"/>
                <w:szCs w:val="32"/>
              </w:rPr>
              <w:t xml:space="preserve"> </w:t>
            </w:r>
          </w:p>
          <w:p w14:paraId="0A36FFEE">
            <w:pPr>
              <w:widowControl/>
              <w:snapToGrid w:val="0"/>
              <w:spacing w:line="540" w:lineRule="atLeast"/>
              <w:jc w:val="left"/>
              <w:rPr>
                <w:rFonts w:ascii="宋体" w:hAnsi="宋体" w:eastAsia="宋体"/>
                <w:sz w:val="28"/>
                <w:szCs w:val="32"/>
              </w:rPr>
            </w:pPr>
            <w:r>
              <w:rPr>
                <w:rFonts w:ascii="宋体" w:hAnsi="宋体" w:eastAsia="宋体"/>
                <w:sz w:val="28"/>
                <w:szCs w:val="32"/>
              </w:rPr>
              <w:t>3</w:t>
            </w:r>
            <w:r>
              <w:rPr>
                <w:rFonts w:hint="eastAsia" w:ascii="宋体" w:hAnsi="宋体" w:eastAsia="宋体"/>
                <w:sz w:val="28"/>
                <w:szCs w:val="32"/>
              </w:rPr>
              <w:t>、额外加分情况：</w:t>
            </w:r>
            <w:r>
              <w:rPr>
                <w:rFonts w:ascii="宋体" w:hAnsi="宋体" w:eastAsia="宋体"/>
                <w:sz w:val="28"/>
                <w:szCs w:val="32"/>
              </w:rPr>
              <w:t xml:space="preserve">CCF-A </w:t>
            </w:r>
            <w:r>
              <w:rPr>
                <w:rFonts w:hint="eastAsia" w:ascii="宋体" w:hAnsi="宋体" w:eastAsia="宋体"/>
                <w:sz w:val="28"/>
                <w:szCs w:val="32"/>
              </w:rPr>
              <w:t>获评奖提名</w:t>
            </w:r>
            <w:r>
              <w:rPr>
                <w:rFonts w:ascii="宋体" w:hAnsi="宋体" w:eastAsia="宋体"/>
                <w:sz w:val="28"/>
                <w:szCs w:val="32"/>
              </w:rPr>
              <w:t>+2</w:t>
            </w:r>
            <w:r>
              <w:rPr>
                <w:rFonts w:hint="eastAsia" w:ascii="宋体" w:hAnsi="宋体" w:eastAsia="宋体"/>
                <w:sz w:val="28"/>
                <w:szCs w:val="32"/>
              </w:rPr>
              <w:t>分</w:t>
            </w:r>
            <w:r>
              <w:rPr>
                <w:rFonts w:ascii="宋体" w:hAnsi="宋体" w:eastAsia="宋体"/>
                <w:sz w:val="28"/>
                <w:szCs w:val="32"/>
              </w:rPr>
              <w:t xml:space="preserve">, </w:t>
            </w:r>
            <w:r>
              <w:rPr>
                <w:rFonts w:hint="eastAsia" w:ascii="宋体" w:hAnsi="宋体" w:eastAsia="宋体"/>
                <w:sz w:val="28"/>
                <w:szCs w:val="32"/>
              </w:rPr>
              <w:t>获奖</w:t>
            </w:r>
            <w:r>
              <w:rPr>
                <w:rFonts w:ascii="宋体" w:hAnsi="宋体" w:eastAsia="宋体"/>
                <w:sz w:val="28"/>
                <w:szCs w:val="32"/>
              </w:rPr>
              <w:t xml:space="preserve"> +4</w:t>
            </w:r>
            <w:r>
              <w:rPr>
                <w:rFonts w:hint="eastAsia" w:ascii="宋体" w:hAnsi="宋体" w:eastAsia="宋体"/>
                <w:sz w:val="28"/>
                <w:szCs w:val="32"/>
              </w:rPr>
              <w:t>分</w:t>
            </w:r>
            <w:r>
              <w:rPr>
                <w:rFonts w:ascii="宋体" w:hAnsi="宋体" w:eastAsia="宋体"/>
                <w:sz w:val="28"/>
                <w:szCs w:val="32"/>
              </w:rPr>
              <w:t>;</w:t>
            </w:r>
          </w:p>
          <w:p w14:paraId="69697573">
            <w:pPr>
              <w:widowControl/>
              <w:snapToGrid w:val="0"/>
              <w:spacing w:line="540" w:lineRule="atLeast"/>
              <w:jc w:val="left"/>
              <w:rPr>
                <w:rFonts w:ascii="宋体" w:hAnsi="宋体" w:eastAsia="宋体"/>
                <w:sz w:val="28"/>
                <w:szCs w:val="32"/>
              </w:rPr>
            </w:pPr>
            <w:r>
              <w:rPr>
                <w:rFonts w:ascii="宋体" w:hAnsi="宋体" w:eastAsia="宋体"/>
                <w:sz w:val="28"/>
                <w:szCs w:val="32"/>
              </w:rPr>
              <w:t xml:space="preserve">CCF-B </w:t>
            </w:r>
            <w:r>
              <w:rPr>
                <w:rFonts w:hint="eastAsia" w:ascii="宋体" w:hAnsi="宋体" w:eastAsia="宋体"/>
                <w:sz w:val="28"/>
                <w:szCs w:val="32"/>
              </w:rPr>
              <w:t>获评奖提名</w:t>
            </w:r>
            <w:r>
              <w:rPr>
                <w:rFonts w:ascii="宋体" w:hAnsi="宋体" w:eastAsia="宋体"/>
                <w:sz w:val="28"/>
                <w:szCs w:val="32"/>
              </w:rPr>
              <w:t xml:space="preserve"> +1.5</w:t>
            </w:r>
            <w:r>
              <w:rPr>
                <w:rFonts w:hint="eastAsia" w:ascii="宋体" w:hAnsi="宋体" w:eastAsia="宋体"/>
                <w:sz w:val="28"/>
                <w:szCs w:val="32"/>
              </w:rPr>
              <w:t>分</w:t>
            </w:r>
            <w:r>
              <w:rPr>
                <w:rFonts w:ascii="宋体" w:hAnsi="宋体" w:eastAsia="宋体"/>
                <w:sz w:val="28"/>
                <w:szCs w:val="32"/>
              </w:rPr>
              <w:t xml:space="preserve">, </w:t>
            </w:r>
            <w:r>
              <w:rPr>
                <w:rFonts w:hint="eastAsia" w:ascii="宋体" w:hAnsi="宋体" w:eastAsia="宋体"/>
                <w:sz w:val="28"/>
                <w:szCs w:val="32"/>
              </w:rPr>
              <w:t>获奖</w:t>
            </w:r>
            <w:r>
              <w:rPr>
                <w:rFonts w:ascii="宋体" w:hAnsi="宋体" w:eastAsia="宋体"/>
                <w:sz w:val="28"/>
                <w:szCs w:val="32"/>
              </w:rPr>
              <w:t xml:space="preserve"> +3</w:t>
            </w:r>
            <w:r>
              <w:rPr>
                <w:rFonts w:hint="eastAsia" w:ascii="宋体" w:hAnsi="宋体" w:eastAsia="宋体"/>
                <w:sz w:val="28"/>
                <w:szCs w:val="32"/>
              </w:rPr>
              <w:t>分</w:t>
            </w:r>
            <w:r>
              <w:rPr>
                <w:rFonts w:ascii="宋体" w:hAnsi="宋体" w:eastAsia="宋体"/>
                <w:sz w:val="28"/>
                <w:szCs w:val="32"/>
              </w:rPr>
              <w:t>;</w:t>
            </w:r>
          </w:p>
          <w:p w14:paraId="631DBE64">
            <w:pPr>
              <w:widowControl/>
              <w:snapToGrid w:val="0"/>
              <w:spacing w:line="540" w:lineRule="atLeast"/>
              <w:jc w:val="left"/>
              <w:rPr>
                <w:rFonts w:ascii="宋体" w:hAnsi="宋体" w:eastAsia="宋体"/>
                <w:sz w:val="28"/>
                <w:szCs w:val="32"/>
              </w:rPr>
            </w:pPr>
            <w:r>
              <w:rPr>
                <w:rFonts w:ascii="宋体" w:hAnsi="宋体" w:eastAsia="宋体"/>
                <w:sz w:val="28"/>
                <w:szCs w:val="32"/>
              </w:rPr>
              <w:t xml:space="preserve">CCF-C </w:t>
            </w:r>
            <w:r>
              <w:rPr>
                <w:rFonts w:hint="eastAsia" w:ascii="宋体" w:hAnsi="宋体" w:eastAsia="宋体"/>
                <w:sz w:val="28"/>
                <w:szCs w:val="32"/>
              </w:rPr>
              <w:t>获评奖提名</w:t>
            </w:r>
            <w:r>
              <w:rPr>
                <w:rFonts w:ascii="宋体" w:hAnsi="宋体" w:eastAsia="宋体"/>
                <w:sz w:val="28"/>
                <w:szCs w:val="32"/>
              </w:rPr>
              <w:t xml:space="preserve"> +1</w:t>
            </w:r>
            <w:r>
              <w:rPr>
                <w:rFonts w:hint="eastAsia" w:ascii="宋体" w:hAnsi="宋体" w:eastAsia="宋体"/>
                <w:sz w:val="28"/>
                <w:szCs w:val="32"/>
              </w:rPr>
              <w:t>分</w:t>
            </w:r>
            <w:r>
              <w:rPr>
                <w:rFonts w:ascii="宋体" w:hAnsi="宋体" w:eastAsia="宋体"/>
                <w:sz w:val="28"/>
                <w:szCs w:val="32"/>
              </w:rPr>
              <w:t xml:space="preserve">, </w:t>
            </w:r>
            <w:r>
              <w:rPr>
                <w:rFonts w:hint="eastAsia" w:ascii="宋体" w:hAnsi="宋体" w:eastAsia="宋体"/>
                <w:sz w:val="28"/>
                <w:szCs w:val="32"/>
              </w:rPr>
              <w:t>获奖</w:t>
            </w:r>
            <w:r>
              <w:rPr>
                <w:rFonts w:ascii="宋体" w:hAnsi="宋体" w:eastAsia="宋体"/>
                <w:sz w:val="28"/>
                <w:szCs w:val="32"/>
              </w:rPr>
              <w:t xml:space="preserve"> +2</w:t>
            </w:r>
            <w:r>
              <w:rPr>
                <w:rFonts w:hint="eastAsia" w:ascii="宋体" w:hAnsi="宋体" w:eastAsia="宋体"/>
                <w:sz w:val="28"/>
                <w:szCs w:val="32"/>
              </w:rPr>
              <w:t>分</w:t>
            </w:r>
            <w:r>
              <w:rPr>
                <w:rFonts w:ascii="宋体" w:hAnsi="宋体" w:eastAsia="宋体"/>
                <w:sz w:val="28"/>
                <w:szCs w:val="32"/>
              </w:rPr>
              <w:t>;</w:t>
            </w:r>
          </w:p>
        </w:tc>
      </w:tr>
      <w:tr w14:paraId="2F9F2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98" w:type="dxa"/>
            <w:vMerge w:val="continue"/>
            <w:tcBorders>
              <w:top w:val="single" w:color="auto" w:sz="4" w:space="0"/>
              <w:left w:val="single" w:color="auto" w:sz="4" w:space="0"/>
              <w:bottom w:val="single" w:color="auto" w:sz="4" w:space="0"/>
              <w:right w:val="single" w:color="auto" w:sz="4" w:space="0"/>
            </w:tcBorders>
          </w:tcPr>
          <w:p w14:paraId="6A79B5A0">
            <w:pPr>
              <w:widowControl/>
              <w:snapToGrid w:val="0"/>
              <w:spacing w:line="540" w:lineRule="atLeast"/>
              <w:jc w:val="center"/>
              <w:rPr>
                <w:rFonts w:ascii="宋体" w:hAnsi="宋体" w:eastAsia="宋体"/>
                <w:kern w:val="0"/>
                <w:sz w:val="28"/>
                <w:szCs w:val="32"/>
              </w:rPr>
            </w:pPr>
          </w:p>
        </w:tc>
        <w:tc>
          <w:tcPr>
            <w:tcW w:w="2649" w:type="dxa"/>
            <w:tcBorders>
              <w:left w:val="single" w:color="auto" w:sz="4" w:space="0"/>
            </w:tcBorders>
            <w:vAlign w:val="center"/>
          </w:tcPr>
          <w:p w14:paraId="2B1DF87D">
            <w:pPr>
              <w:widowControl/>
              <w:snapToGrid w:val="0"/>
              <w:spacing w:line="540" w:lineRule="atLeast"/>
              <w:jc w:val="center"/>
              <w:rPr>
                <w:rFonts w:ascii="宋体" w:hAnsi="宋体" w:eastAsia="宋体"/>
                <w:kern w:val="0"/>
                <w:sz w:val="28"/>
                <w:szCs w:val="32"/>
              </w:rPr>
            </w:pPr>
            <w:r>
              <w:rPr>
                <w:rFonts w:hint="eastAsia" w:ascii="宋体" w:hAnsi="宋体" w:eastAsia="宋体"/>
                <w:kern w:val="0"/>
                <w:sz w:val="28"/>
                <w:szCs w:val="32"/>
              </w:rPr>
              <w:t>其他</w:t>
            </w:r>
            <w:r>
              <w:rPr>
                <w:rFonts w:ascii="宋体" w:hAnsi="宋体" w:eastAsia="宋体"/>
                <w:kern w:val="0"/>
                <w:sz w:val="28"/>
                <w:szCs w:val="32"/>
              </w:rPr>
              <w:t>A</w:t>
            </w:r>
            <w:r>
              <w:rPr>
                <w:rFonts w:hint="eastAsia" w:ascii="宋体" w:hAnsi="宋体" w:eastAsia="宋体"/>
                <w:kern w:val="0"/>
                <w:sz w:val="28"/>
                <w:szCs w:val="32"/>
              </w:rPr>
              <w:t>类</w:t>
            </w:r>
          </w:p>
        </w:tc>
        <w:tc>
          <w:tcPr>
            <w:tcW w:w="1470" w:type="dxa"/>
            <w:vAlign w:val="center"/>
          </w:tcPr>
          <w:p w14:paraId="10003F3A">
            <w:pPr>
              <w:widowControl/>
              <w:snapToGrid w:val="0"/>
              <w:spacing w:line="540" w:lineRule="atLeast"/>
              <w:jc w:val="center"/>
              <w:rPr>
                <w:rFonts w:ascii="宋体" w:hAnsi="宋体" w:eastAsia="宋体"/>
                <w:kern w:val="0"/>
                <w:sz w:val="28"/>
                <w:szCs w:val="32"/>
              </w:rPr>
            </w:pPr>
            <w:r>
              <w:rPr>
                <w:rFonts w:ascii="宋体" w:hAnsi="宋体" w:eastAsia="宋体"/>
                <w:kern w:val="0"/>
                <w:sz w:val="28"/>
                <w:szCs w:val="32"/>
              </w:rPr>
              <w:t>18</w:t>
            </w:r>
            <w:r>
              <w:rPr>
                <w:rFonts w:hint="eastAsia" w:ascii="宋体" w:hAnsi="宋体" w:eastAsia="宋体"/>
                <w:sz w:val="28"/>
                <w:szCs w:val="32"/>
              </w:rPr>
              <w:t>分</w:t>
            </w:r>
          </w:p>
        </w:tc>
        <w:tc>
          <w:tcPr>
            <w:tcW w:w="3353" w:type="dxa"/>
            <w:vMerge w:val="continue"/>
            <w:vAlign w:val="center"/>
          </w:tcPr>
          <w:p w14:paraId="2B54B25F">
            <w:pPr>
              <w:widowControl/>
              <w:snapToGrid w:val="0"/>
              <w:spacing w:line="540" w:lineRule="atLeast"/>
              <w:jc w:val="left"/>
              <w:rPr>
                <w:rFonts w:ascii="宋体" w:hAnsi="宋体" w:eastAsia="宋体"/>
                <w:sz w:val="28"/>
                <w:szCs w:val="32"/>
              </w:rPr>
            </w:pPr>
          </w:p>
        </w:tc>
      </w:tr>
      <w:tr w14:paraId="1D498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798" w:type="dxa"/>
            <w:vMerge w:val="continue"/>
            <w:tcBorders>
              <w:top w:val="single" w:color="auto" w:sz="4" w:space="0"/>
              <w:left w:val="single" w:color="auto" w:sz="4" w:space="0"/>
              <w:bottom w:val="single" w:color="auto" w:sz="4" w:space="0"/>
              <w:right w:val="single" w:color="auto" w:sz="4" w:space="0"/>
            </w:tcBorders>
          </w:tcPr>
          <w:p w14:paraId="77B724CD">
            <w:pPr>
              <w:widowControl/>
              <w:snapToGrid w:val="0"/>
              <w:spacing w:line="540" w:lineRule="atLeast"/>
              <w:jc w:val="center"/>
              <w:rPr>
                <w:rFonts w:ascii="宋体" w:hAnsi="宋体" w:eastAsia="宋体"/>
                <w:kern w:val="0"/>
                <w:sz w:val="28"/>
                <w:szCs w:val="32"/>
              </w:rPr>
            </w:pPr>
          </w:p>
        </w:tc>
        <w:tc>
          <w:tcPr>
            <w:tcW w:w="2649" w:type="dxa"/>
            <w:tcBorders>
              <w:left w:val="single" w:color="auto" w:sz="4" w:space="0"/>
            </w:tcBorders>
            <w:vAlign w:val="center"/>
          </w:tcPr>
          <w:p w14:paraId="28352795">
            <w:pPr>
              <w:widowControl/>
              <w:snapToGrid w:val="0"/>
              <w:spacing w:line="540" w:lineRule="atLeast"/>
              <w:jc w:val="center"/>
              <w:rPr>
                <w:rFonts w:ascii="宋体" w:hAnsi="宋体" w:eastAsia="宋体"/>
                <w:kern w:val="0"/>
                <w:sz w:val="28"/>
                <w:szCs w:val="32"/>
              </w:rPr>
            </w:pPr>
            <w:r>
              <w:rPr>
                <w:rFonts w:ascii="宋体" w:hAnsi="宋体" w:eastAsia="宋体"/>
                <w:kern w:val="0"/>
                <w:sz w:val="28"/>
                <w:szCs w:val="32"/>
              </w:rPr>
              <w:t>B</w:t>
            </w:r>
            <w:r>
              <w:rPr>
                <w:rFonts w:hint="eastAsia" w:ascii="宋体" w:hAnsi="宋体" w:eastAsia="宋体"/>
                <w:kern w:val="0"/>
                <w:sz w:val="28"/>
                <w:szCs w:val="32"/>
              </w:rPr>
              <w:t>类</w:t>
            </w:r>
          </w:p>
        </w:tc>
        <w:tc>
          <w:tcPr>
            <w:tcW w:w="1470" w:type="dxa"/>
            <w:vAlign w:val="center"/>
          </w:tcPr>
          <w:p w14:paraId="43AE6B9C">
            <w:pPr>
              <w:widowControl/>
              <w:snapToGrid w:val="0"/>
              <w:spacing w:line="540" w:lineRule="atLeast"/>
              <w:jc w:val="center"/>
              <w:rPr>
                <w:rFonts w:ascii="宋体" w:hAnsi="宋体" w:eastAsia="宋体"/>
                <w:kern w:val="0"/>
                <w:sz w:val="28"/>
                <w:szCs w:val="32"/>
              </w:rPr>
            </w:pPr>
            <w:r>
              <w:rPr>
                <w:rFonts w:ascii="宋体" w:hAnsi="宋体" w:eastAsia="宋体"/>
                <w:kern w:val="0"/>
                <w:sz w:val="28"/>
                <w:szCs w:val="32"/>
              </w:rPr>
              <w:t>8</w:t>
            </w:r>
            <w:r>
              <w:rPr>
                <w:rFonts w:hint="eastAsia" w:ascii="宋体" w:hAnsi="宋体" w:eastAsia="宋体"/>
                <w:sz w:val="28"/>
                <w:szCs w:val="32"/>
              </w:rPr>
              <w:t>分</w:t>
            </w:r>
          </w:p>
        </w:tc>
        <w:tc>
          <w:tcPr>
            <w:tcW w:w="3353" w:type="dxa"/>
            <w:vMerge w:val="continue"/>
          </w:tcPr>
          <w:p w14:paraId="1CF1FCE9">
            <w:pPr>
              <w:widowControl/>
              <w:snapToGrid w:val="0"/>
              <w:spacing w:line="540" w:lineRule="atLeast"/>
              <w:jc w:val="left"/>
              <w:rPr>
                <w:rFonts w:ascii="宋体" w:hAnsi="宋体" w:eastAsia="宋体"/>
                <w:kern w:val="0"/>
                <w:sz w:val="28"/>
                <w:szCs w:val="32"/>
              </w:rPr>
            </w:pPr>
          </w:p>
        </w:tc>
      </w:tr>
      <w:tr w14:paraId="2C188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798" w:type="dxa"/>
            <w:vMerge w:val="continue"/>
            <w:tcBorders>
              <w:top w:val="single" w:color="auto" w:sz="4" w:space="0"/>
              <w:left w:val="single" w:color="auto" w:sz="4" w:space="0"/>
              <w:bottom w:val="single" w:color="auto" w:sz="4" w:space="0"/>
              <w:right w:val="single" w:color="auto" w:sz="4" w:space="0"/>
            </w:tcBorders>
          </w:tcPr>
          <w:p w14:paraId="0A7E69E4">
            <w:pPr>
              <w:widowControl/>
              <w:snapToGrid w:val="0"/>
              <w:spacing w:line="540" w:lineRule="atLeast"/>
              <w:jc w:val="center"/>
              <w:rPr>
                <w:rFonts w:ascii="宋体" w:hAnsi="宋体" w:eastAsia="宋体"/>
                <w:kern w:val="0"/>
                <w:sz w:val="28"/>
                <w:szCs w:val="32"/>
              </w:rPr>
            </w:pPr>
          </w:p>
        </w:tc>
        <w:tc>
          <w:tcPr>
            <w:tcW w:w="2649" w:type="dxa"/>
            <w:tcBorders>
              <w:left w:val="single" w:color="auto" w:sz="4" w:space="0"/>
            </w:tcBorders>
            <w:vAlign w:val="center"/>
          </w:tcPr>
          <w:p w14:paraId="1EDB8F00">
            <w:pPr>
              <w:widowControl/>
              <w:snapToGrid w:val="0"/>
              <w:spacing w:line="540" w:lineRule="atLeast"/>
              <w:jc w:val="center"/>
              <w:rPr>
                <w:rFonts w:ascii="宋体" w:hAnsi="宋体" w:eastAsia="宋体"/>
                <w:kern w:val="0"/>
                <w:sz w:val="28"/>
                <w:szCs w:val="32"/>
              </w:rPr>
            </w:pPr>
            <w:r>
              <w:rPr>
                <w:rFonts w:ascii="宋体" w:hAnsi="宋体" w:eastAsia="宋体"/>
                <w:kern w:val="0"/>
                <w:sz w:val="28"/>
                <w:szCs w:val="32"/>
              </w:rPr>
              <w:t>C</w:t>
            </w:r>
            <w:r>
              <w:rPr>
                <w:rFonts w:hint="eastAsia" w:ascii="宋体" w:hAnsi="宋体" w:eastAsia="宋体"/>
                <w:kern w:val="0"/>
                <w:sz w:val="28"/>
                <w:szCs w:val="32"/>
              </w:rPr>
              <w:t>类</w:t>
            </w:r>
          </w:p>
        </w:tc>
        <w:tc>
          <w:tcPr>
            <w:tcW w:w="1470" w:type="dxa"/>
            <w:vAlign w:val="center"/>
          </w:tcPr>
          <w:p w14:paraId="1B4BDBF6">
            <w:pPr>
              <w:widowControl/>
              <w:snapToGrid w:val="0"/>
              <w:spacing w:line="540" w:lineRule="atLeast"/>
              <w:jc w:val="center"/>
              <w:rPr>
                <w:rFonts w:ascii="宋体" w:hAnsi="宋体" w:eastAsia="宋体"/>
                <w:kern w:val="0"/>
                <w:sz w:val="28"/>
                <w:szCs w:val="32"/>
              </w:rPr>
            </w:pPr>
            <w:r>
              <w:rPr>
                <w:rFonts w:ascii="宋体" w:hAnsi="宋体" w:eastAsia="宋体"/>
                <w:kern w:val="0"/>
                <w:sz w:val="28"/>
                <w:szCs w:val="32"/>
              </w:rPr>
              <w:t>5</w:t>
            </w:r>
            <w:r>
              <w:rPr>
                <w:rFonts w:hint="eastAsia" w:ascii="宋体" w:hAnsi="宋体" w:eastAsia="宋体"/>
                <w:sz w:val="28"/>
                <w:szCs w:val="32"/>
              </w:rPr>
              <w:t>分</w:t>
            </w:r>
          </w:p>
        </w:tc>
        <w:tc>
          <w:tcPr>
            <w:tcW w:w="3353" w:type="dxa"/>
            <w:vMerge w:val="continue"/>
          </w:tcPr>
          <w:p w14:paraId="1217622E">
            <w:pPr>
              <w:widowControl/>
              <w:snapToGrid w:val="0"/>
              <w:spacing w:line="540" w:lineRule="atLeast"/>
              <w:jc w:val="left"/>
              <w:rPr>
                <w:rFonts w:ascii="宋体" w:hAnsi="宋体" w:eastAsia="宋体"/>
                <w:kern w:val="0"/>
                <w:sz w:val="28"/>
                <w:szCs w:val="32"/>
              </w:rPr>
            </w:pPr>
          </w:p>
        </w:tc>
      </w:tr>
      <w:tr w14:paraId="1A2D6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798" w:type="dxa"/>
            <w:vMerge w:val="continue"/>
            <w:tcBorders>
              <w:top w:val="single" w:color="auto" w:sz="4" w:space="0"/>
              <w:left w:val="single" w:color="auto" w:sz="4" w:space="0"/>
              <w:bottom w:val="single" w:color="auto" w:sz="4" w:space="0"/>
              <w:right w:val="single" w:color="auto" w:sz="4" w:space="0"/>
            </w:tcBorders>
          </w:tcPr>
          <w:p w14:paraId="01521C28">
            <w:pPr>
              <w:widowControl/>
              <w:snapToGrid w:val="0"/>
              <w:spacing w:line="540" w:lineRule="atLeast"/>
              <w:jc w:val="center"/>
              <w:rPr>
                <w:rFonts w:ascii="宋体" w:hAnsi="宋体" w:eastAsia="宋体"/>
                <w:kern w:val="0"/>
                <w:sz w:val="28"/>
                <w:szCs w:val="32"/>
              </w:rPr>
            </w:pPr>
          </w:p>
        </w:tc>
        <w:tc>
          <w:tcPr>
            <w:tcW w:w="2649" w:type="dxa"/>
            <w:tcBorders>
              <w:left w:val="single" w:color="auto" w:sz="4" w:space="0"/>
            </w:tcBorders>
            <w:vAlign w:val="center"/>
          </w:tcPr>
          <w:p w14:paraId="4C846327">
            <w:pPr>
              <w:widowControl/>
              <w:snapToGrid w:val="0"/>
              <w:spacing w:line="540" w:lineRule="atLeast"/>
              <w:jc w:val="center"/>
              <w:rPr>
                <w:rFonts w:ascii="宋体" w:hAnsi="宋体" w:eastAsia="宋体"/>
                <w:kern w:val="0"/>
                <w:sz w:val="28"/>
                <w:szCs w:val="32"/>
              </w:rPr>
            </w:pPr>
            <w:r>
              <w:rPr>
                <w:rFonts w:hint="eastAsia" w:ascii="宋体" w:hAnsi="宋体" w:eastAsia="宋体"/>
                <w:kern w:val="0"/>
                <w:sz w:val="28"/>
                <w:szCs w:val="32"/>
              </w:rPr>
              <w:t>其余会议</w:t>
            </w:r>
          </w:p>
        </w:tc>
        <w:tc>
          <w:tcPr>
            <w:tcW w:w="1470" w:type="dxa"/>
            <w:vAlign w:val="center"/>
          </w:tcPr>
          <w:p w14:paraId="47C9DB3E">
            <w:pPr>
              <w:widowControl/>
              <w:snapToGrid w:val="0"/>
              <w:spacing w:line="540" w:lineRule="atLeast"/>
              <w:jc w:val="center"/>
              <w:rPr>
                <w:rFonts w:ascii="宋体" w:hAnsi="宋体" w:eastAsia="宋体"/>
                <w:kern w:val="0"/>
                <w:sz w:val="28"/>
                <w:szCs w:val="32"/>
              </w:rPr>
            </w:pPr>
            <w:r>
              <w:rPr>
                <w:rFonts w:ascii="宋体" w:hAnsi="宋体" w:eastAsia="宋体"/>
                <w:kern w:val="0"/>
                <w:sz w:val="28"/>
                <w:szCs w:val="32"/>
              </w:rPr>
              <w:t>1</w:t>
            </w:r>
            <w:r>
              <w:rPr>
                <w:rFonts w:hint="eastAsia" w:ascii="宋体" w:hAnsi="宋体" w:eastAsia="宋体"/>
                <w:sz w:val="28"/>
                <w:szCs w:val="32"/>
              </w:rPr>
              <w:t>分</w:t>
            </w:r>
          </w:p>
        </w:tc>
        <w:tc>
          <w:tcPr>
            <w:tcW w:w="3353" w:type="dxa"/>
          </w:tcPr>
          <w:p w14:paraId="07B262B2">
            <w:pPr>
              <w:widowControl/>
              <w:snapToGrid w:val="0"/>
              <w:spacing w:line="540" w:lineRule="atLeast"/>
              <w:jc w:val="left"/>
              <w:rPr>
                <w:rFonts w:ascii="宋体" w:hAnsi="宋体" w:eastAsia="宋体"/>
                <w:kern w:val="0"/>
                <w:sz w:val="28"/>
                <w:szCs w:val="32"/>
              </w:rPr>
            </w:pPr>
            <w:r>
              <w:rPr>
                <w:rFonts w:hint="eastAsia" w:ascii="宋体" w:hAnsi="宋体" w:eastAsia="宋体"/>
                <w:kern w:val="0"/>
                <w:sz w:val="28"/>
                <w:szCs w:val="32"/>
              </w:rPr>
              <w:t>除</w:t>
            </w:r>
            <w:r>
              <w:rPr>
                <w:rFonts w:ascii="宋体" w:hAnsi="宋体" w:eastAsia="宋体"/>
                <w:kern w:val="0"/>
                <w:sz w:val="28"/>
                <w:szCs w:val="32"/>
              </w:rPr>
              <w:t>CCF</w:t>
            </w:r>
            <w:r>
              <w:rPr>
                <w:rFonts w:hint="eastAsia" w:ascii="宋体" w:hAnsi="宋体" w:eastAsia="宋体"/>
                <w:kern w:val="0"/>
                <w:sz w:val="28"/>
                <w:szCs w:val="32"/>
              </w:rPr>
              <w:t>会议外</w:t>
            </w:r>
          </w:p>
        </w:tc>
      </w:tr>
    </w:tbl>
    <w:p w14:paraId="3F9FBE34">
      <w:pPr>
        <w:pStyle w:val="14"/>
        <w:numPr>
          <w:ilvl w:val="0"/>
          <w:numId w:val="12"/>
        </w:numPr>
        <w:tabs>
          <w:tab w:val="left" w:pos="540"/>
        </w:tabs>
        <w:spacing w:line="540" w:lineRule="atLeast"/>
        <w:ind w:left="945" w:leftChars="450" w:firstLine="0" w:firstLineChars="0"/>
        <w:rPr>
          <w:rFonts w:ascii="宋体" w:hAnsi="宋体" w:eastAsia="宋体"/>
          <w:sz w:val="32"/>
          <w:szCs w:val="32"/>
        </w:rPr>
      </w:pPr>
      <w:r>
        <w:rPr>
          <w:rFonts w:hint="eastAsia" w:ascii="宋体" w:hAnsi="宋体" w:eastAsia="宋体"/>
          <w:sz w:val="32"/>
          <w:szCs w:val="32"/>
        </w:rPr>
        <w:t>作者单位必须第一署名为中山大学。</w:t>
      </w:r>
    </w:p>
    <w:p w14:paraId="6CB72D10">
      <w:pPr>
        <w:pStyle w:val="14"/>
        <w:numPr>
          <w:ilvl w:val="0"/>
          <w:numId w:val="12"/>
        </w:numPr>
        <w:tabs>
          <w:tab w:val="left" w:pos="540"/>
        </w:tabs>
        <w:spacing w:line="540" w:lineRule="atLeast"/>
        <w:ind w:left="945" w:leftChars="450" w:firstLine="0" w:firstLineChars="0"/>
        <w:rPr>
          <w:rFonts w:ascii="宋体" w:hAnsi="宋体" w:eastAsia="宋体"/>
          <w:sz w:val="32"/>
          <w:szCs w:val="32"/>
        </w:rPr>
      </w:pPr>
      <w:r>
        <w:rPr>
          <w:rFonts w:hint="eastAsia" w:ascii="宋体" w:hAnsi="宋体" w:eastAsia="宋体"/>
          <w:sz w:val="32"/>
          <w:szCs w:val="32"/>
        </w:rPr>
        <w:t>论文作者排序的计算，不计指导老师（学生本人的导师或指导小组教师，仅考虑一位）的排名。如：指导教师为第一作者的，第二作者可视同第一作者计分，第三作者可视同第二作者加分；指导教师为第二作者的，第三作者可视同第二作者加分；指导小组教师为第一作者的，导师为第二作者，学生第三作者可视同第二作者计分。</w:t>
      </w:r>
    </w:p>
    <w:p w14:paraId="30D7CCAB">
      <w:pPr>
        <w:pStyle w:val="14"/>
        <w:numPr>
          <w:ilvl w:val="0"/>
          <w:numId w:val="12"/>
        </w:numPr>
        <w:tabs>
          <w:tab w:val="left" w:pos="540"/>
        </w:tabs>
        <w:spacing w:line="540" w:lineRule="atLeast"/>
        <w:ind w:left="945" w:leftChars="450" w:firstLine="0" w:firstLineChars="0"/>
        <w:rPr>
          <w:rFonts w:ascii="宋体" w:hAnsi="宋体" w:eastAsia="宋体"/>
          <w:sz w:val="32"/>
          <w:szCs w:val="32"/>
        </w:rPr>
      </w:pPr>
      <w:r>
        <w:rPr>
          <w:rFonts w:hint="eastAsia" w:ascii="宋体" w:hAnsi="宋体" w:eastAsia="宋体"/>
          <w:sz w:val="32"/>
          <w:szCs w:val="32"/>
        </w:rPr>
        <w:t>未发表但已录用的论文须有录用证明，或者是编辑部有正式函件明确说明论文经作者修改后即可发表，但发表后，需要补交论文目录、首页。如提交的证明材料不是编辑部的原件，或原件无加盖公章，则必须要由导师签名证实。</w:t>
      </w:r>
    </w:p>
    <w:p w14:paraId="55866D54">
      <w:pPr>
        <w:pStyle w:val="14"/>
        <w:numPr>
          <w:ilvl w:val="0"/>
          <w:numId w:val="12"/>
        </w:numPr>
        <w:tabs>
          <w:tab w:val="left" w:pos="540"/>
        </w:tabs>
        <w:spacing w:line="540" w:lineRule="atLeast"/>
        <w:ind w:left="945" w:leftChars="450" w:firstLine="0" w:firstLineChars="0"/>
        <w:rPr>
          <w:rFonts w:ascii="宋体" w:hAnsi="宋体" w:eastAsia="宋体"/>
          <w:sz w:val="32"/>
          <w:szCs w:val="32"/>
        </w:rPr>
      </w:pPr>
      <w:r>
        <w:rPr>
          <w:rFonts w:hint="eastAsia" w:ascii="宋体" w:hAnsi="宋体" w:eastAsia="宋体"/>
          <w:sz w:val="32"/>
          <w:szCs w:val="32"/>
        </w:rPr>
        <w:t>同一篇论文只能作为一个学年的奖助金申请材料加分一次。</w:t>
      </w:r>
    </w:p>
    <w:p w14:paraId="7E8A2C8E">
      <w:pPr>
        <w:pStyle w:val="14"/>
        <w:numPr>
          <w:ilvl w:val="0"/>
          <w:numId w:val="12"/>
        </w:numPr>
        <w:tabs>
          <w:tab w:val="left" w:pos="540"/>
        </w:tabs>
        <w:spacing w:line="540" w:lineRule="atLeast"/>
        <w:ind w:left="945" w:leftChars="450" w:firstLine="0" w:firstLineChars="0"/>
        <w:rPr>
          <w:rFonts w:ascii="宋体" w:hAnsi="宋体" w:eastAsia="宋体"/>
          <w:sz w:val="32"/>
          <w:szCs w:val="32"/>
        </w:rPr>
      </w:pPr>
      <w:r>
        <w:rPr>
          <w:rFonts w:hint="eastAsia" w:ascii="宋体" w:hAnsi="宋体" w:eastAsia="宋体"/>
          <w:sz w:val="32"/>
          <w:szCs w:val="32"/>
        </w:rPr>
        <w:t>参加学术会议提交的论文需被编入有</w:t>
      </w:r>
      <w:r>
        <w:rPr>
          <w:rFonts w:ascii="宋体" w:hAnsi="宋体" w:eastAsia="宋体"/>
          <w:sz w:val="32"/>
          <w:szCs w:val="32"/>
        </w:rPr>
        <w:t>ISBN</w:t>
      </w:r>
      <w:r>
        <w:rPr>
          <w:rFonts w:hint="eastAsia" w:ascii="宋体" w:hAnsi="宋体" w:eastAsia="宋体"/>
          <w:sz w:val="32"/>
          <w:szCs w:val="32"/>
        </w:rPr>
        <w:t>号的论文集方可计分。</w:t>
      </w:r>
    </w:p>
    <w:p w14:paraId="7A2D3F77">
      <w:pPr>
        <w:pStyle w:val="14"/>
        <w:numPr>
          <w:ilvl w:val="0"/>
          <w:numId w:val="12"/>
        </w:numPr>
        <w:tabs>
          <w:tab w:val="left" w:pos="540"/>
        </w:tabs>
        <w:spacing w:line="540" w:lineRule="atLeast"/>
        <w:ind w:left="945" w:leftChars="450" w:firstLine="0" w:firstLineChars="0"/>
        <w:rPr>
          <w:rFonts w:ascii="宋体" w:hAnsi="宋体" w:eastAsia="宋体"/>
          <w:sz w:val="32"/>
          <w:szCs w:val="32"/>
        </w:rPr>
      </w:pPr>
      <w:r>
        <w:rPr>
          <w:rFonts w:hint="eastAsia" w:ascii="宋体" w:hAnsi="宋体" w:eastAsia="宋体"/>
          <w:sz w:val="32"/>
          <w:szCs w:val="32"/>
        </w:rPr>
        <w:t>论文内容必须与专业和学术相关的，方可计分。若有特殊情况，由软件工程学院研究生奖助金评审委员会指定的专家组共同认定。</w:t>
      </w:r>
    </w:p>
    <w:p w14:paraId="79694399">
      <w:pPr>
        <w:pStyle w:val="14"/>
        <w:numPr>
          <w:ilvl w:val="0"/>
          <w:numId w:val="12"/>
        </w:numPr>
        <w:tabs>
          <w:tab w:val="left" w:pos="540"/>
        </w:tabs>
        <w:spacing w:line="540" w:lineRule="atLeast"/>
        <w:ind w:left="945" w:leftChars="450" w:firstLine="0" w:firstLineChars="0"/>
        <w:rPr>
          <w:rFonts w:ascii="宋体" w:hAnsi="宋体" w:eastAsia="宋体"/>
          <w:sz w:val="32"/>
          <w:szCs w:val="32"/>
        </w:rPr>
      </w:pPr>
      <w:r>
        <w:rPr>
          <w:rFonts w:hint="eastAsia" w:ascii="宋体" w:hAnsi="宋体" w:eastAsia="宋体"/>
          <w:kern w:val="0"/>
          <w:sz w:val="28"/>
          <w:szCs w:val="32"/>
        </w:rPr>
        <w:t>软件工程领域顶会</w:t>
      </w:r>
      <w:r>
        <w:rPr>
          <w:rFonts w:ascii="宋体" w:hAnsi="宋体" w:eastAsia="宋体"/>
          <w:kern w:val="0"/>
          <w:sz w:val="28"/>
          <w:szCs w:val="32"/>
          <w:vertAlign w:val="superscript"/>
        </w:rPr>
        <w:t>*</w:t>
      </w:r>
      <w:r>
        <w:rPr>
          <w:rFonts w:hint="eastAsia" w:ascii="宋体" w:hAnsi="宋体" w:eastAsia="宋体"/>
          <w:kern w:val="0"/>
          <w:sz w:val="28"/>
          <w:szCs w:val="32"/>
        </w:rPr>
        <w:t>包括：</w:t>
      </w:r>
      <w:r>
        <w:rPr>
          <w:rFonts w:ascii="宋体" w:hAnsi="宋体" w:eastAsia="宋体"/>
          <w:kern w:val="0"/>
          <w:sz w:val="28"/>
          <w:szCs w:val="32"/>
        </w:rPr>
        <w:t>“ACM SIGSOFT Symposium on the Foundation of Software Engineering/ European Software Engineering Conference</w:t>
      </w:r>
      <w:r>
        <w:rPr>
          <w:rFonts w:hint="eastAsia" w:ascii="宋体" w:hAnsi="宋体" w:eastAsia="宋体"/>
          <w:kern w:val="0"/>
          <w:sz w:val="28"/>
          <w:szCs w:val="32"/>
        </w:rPr>
        <w:t>（</w:t>
      </w:r>
      <w:r>
        <w:rPr>
          <w:rFonts w:ascii="宋体" w:hAnsi="宋体" w:eastAsia="宋体"/>
          <w:kern w:val="0"/>
          <w:sz w:val="28"/>
          <w:szCs w:val="32"/>
        </w:rPr>
        <w:t>FSE/ESEC</w:t>
      </w:r>
      <w:r>
        <w:rPr>
          <w:rFonts w:hint="eastAsia" w:ascii="宋体" w:hAnsi="宋体" w:eastAsia="宋体"/>
          <w:kern w:val="0"/>
          <w:sz w:val="28"/>
          <w:szCs w:val="32"/>
        </w:rPr>
        <w:t>）</w:t>
      </w:r>
      <w:r>
        <w:rPr>
          <w:rFonts w:ascii="宋体" w:hAnsi="宋体" w:eastAsia="宋体"/>
          <w:kern w:val="0"/>
          <w:sz w:val="28"/>
          <w:szCs w:val="32"/>
        </w:rPr>
        <w:t>”,“International Conference on Automated Software Engineering</w:t>
      </w:r>
      <w:r>
        <w:rPr>
          <w:rFonts w:hint="eastAsia" w:ascii="宋体" w:hAnsi="宋体" w:eastAsia="宋体"/>
          <w:kern w:val="0"/>
          <w:sz w:val="28"/>
          <w:szCs w:val="32"/>
        </w:rPr>
        <w:t>（</w:t>
      </w:r>
      <w:r>
        <w:rPr>
          <w:rFonts w:ascii="宋体" w:hAnsi="宋体" w:eastAsia="宋体"/>
          <w:kern w:val="0"/>
          <w:sz w:val="28"/>
          <w:szCs w:val="32"/>
        </w:rPr>
        <w:t>ASE</w:t>
      </w:r>
      <w:r>
        <w:rPr>
          <w:rFonts w:hint="eastAsia" w:ascii="宋体" w:hAnsi="宋体" w:eastAsia="宋体"/>
          <w:kern w:val="0"/>
          <w:sz w:val="28"/>
          <w:szCs w:val="32"/>
        </w:rPr>
        <w:t>）</w:t>
      </w:r>
      <w:r>
        <w:rPr>
          <w:rFonts w:ascii="宋体" w:hAnsi="宋体" w:eastAsia="宋体"/>
          <w:kern w:val="0"/>
          <w:sz w:val="28"/>
          <w:szCs w:val="32"/>
        </w:rPr>
        <w:t>”,“International Conference on Software Engineering (ICSE)”,</w:t>
      </w:r>
      <w:r>
        <w:rPr>
          <w:rFonts w:hint="eastAsia" w:ascii="宋体" w:hAnsi="宋体"/>
          <w:kern w:val="0"/>
          <w:sz w:val="28"/>
          <w:szCs w:val="32"/>
        </w:rPr>
        <w:t>“</w:t>
      </w:r>
      <w:r>
        <w:rPr>
          <w:rFonts w:ascii="宋体" w:hAnsi="宋体" w:eastAsia="宋体"/>
          <w:kern w:val="0"/>
          <w:sz w:val="28"/>
          <w:szCs w:val="32"/>
        </w:rPr>
        <w:t>International Symposium on Software Testing and Analysis (ISSTA)</w:t>
      </w:r>
      <w:r>
        <w:rPr>
          <w:rFonts w:ascii="宋体" w:hAnsi="宋体"/>
          <w:kern w:val="0"/>
          <w:sz w:val="28"/>
          <w:szCs w:val="32"/>
        </w:rPr>
        <w:t>”</w:t>
      </w:r>
      <w:r>
        <w:rPr>
          <w:rFonts w:ascii="宋体" w:hAnsi="宋体" w:eastAsia="宋体"/>
          <w:kern w:val="0"/>
          <w:sz w:val="28"/>
          <w:szCs w:val="32"/>
        </w:rPr>
        <w:t>.</w:t>
      </w:r>
    </w:p>
    <w:p w14:paraId="3F65C179">
      <w:pPr>
        <w:pStyle w:val="14"/>
        <w:numPr>
          <w:ilvl w:val="1"/>
          <w:numId w:val="8"/>
        </w:numPr>
        <w:spacing w:line="540" w:lineRule="atLeast"/>
        <w:ind w:firstLineChars="0"/>
        <w:rPr>
          <w:rFonts w:ascii="宋体" w:hAnsi="宋体" w:eastAsia="宋体"/>
          <w:sz w:val="32"/>
          <w:szCs w:val="32"/>
        </w:rPr>
      </w:pPr>
      <w:r>
        <w:rPr>
          <w:rFonts w:hint="eastAsia" w:ascii="宋体" w:hAnsi="宋体" w:eastAsia="宋体"/>
          <w:sz w:val="32"/>
          <w:szCs w:val="32"/>
        </w:rPr>
        <w:t>发表专利加分</w:t>
      </w:r>
    </w:p>
    <w:tbl>
      <w:tblPr>
        <w:tblStyle w:val="7"/>
        <w:tblW w:w="7648" w:type="dxa"/>
        <w:tblInd w:w="54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403"/>
        <w:gridCol w:w="1560"/>
        <w:gridCol w:w="1417"/>
        <w:gridCol w:w="2268"/>
      </w:tblGrid>
      <w:tr w14:paraId="3D95CE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403" w:type="dxa"/>
            <w:tcBorders>
              <w:top w:val="single" w:color="auto" w:sz="4" w:space="0"/>
              <w:left w:val="single" w:color="auto" w:sz="4" w:space="0"/>
              <w:bottom w:val="single" w:color="auto" w:sz="4" w:space="0"/>
              <w:right w:val="single" w:color="auto" w:sz="4" w:space="0"/>
            </w:tcBorders>
            <w:vAlign w:val="center"/>
          </w:tcPr>
          <w:p w14:paraId="37ED113B">
            <w:pPr>
              <w:widowControl/>
              <w:snapToGrid w:val="0"/>
              <w:spacing w:line="540" w:lineRule="atLeast"/>
              <w:jc w:val="left"/>
              <w:rPr>
                <w:rFonts w:ascii="宋体" w:hAnsi="宋体" w:eastAsia="宋体"/>
                <w:kern w:val="0"/>
                <w:sz w:val="28"/>
                <w:szCs w:val="32"/>
              </w:rPr>
            </w:pPr>
            <w:r>
              <w:rPr>
                <w:rFonts w:ascii="宋体" w:hAnsi="宋体" w:eastAsia="宋体"/>
                <w:kern w:val="0"/>
                <w:sz w:val="28"/>
                <w:szCs w:val="32"/>
              </w:rPr>
              <w:t xml:space="preserve">     </w:t>
            </w:r>
            <w:r>
              <w:rPr>
                <w:rFonts w:hint="eastAsia" w:ascii="宋体" w:hAnsi="宋体" w:eastAsia="宋体"/>
                <w:kern w:val="0"/>
                <w:sz w:val="28"/>
                <w:szCs w:val="32"/>
              </w:rPr>
              <w:t>专利类别</w:t>
            </w:r>
          </w:p>
        </w:tc>
        <w:tc>
          <w:tcPr>
            <w:tcW w:w="1560" w:type="dxa"/>
            <w:tcBorders>
              <w:top w:val="single" w:color="auto" w:sz="4" w:space="0"/>
              <w:left w:val="single" w:color="auto" w:sz="4" w:space="0"/>
              <w:bottom w:val="single" w:color="auto" w:sz="4" w:space="0"/>
              <w:right w:val="single" w:color="auto" w:sz="4" w:space="0"/>
            </w:tcBorders>
            <w:vAlign w:val="center"/>
          </w:tcPr>
          <w:p w14:paraId="2580BAC4">
            <w:pPr>
              <w:widowControl/>
              <w:spacing w:line="540" w:lineRule="atLeast"/>
              <w:jc w:val="center"/>
              <w:rPr>
                <w:rFonts w:ascii="宋体" w:hAnsi="宋体" w:eastAsia="宋体"/>
                <w:kern w:val="0"/>
                <w:sz w:val="28"/>
                <w:szCs w:val="32"/>
              </w:rPr>
            </w:pPr>
            <w:r>
              <w:rPr>
                <w:rFonts w:hint="eastAsia" w:ascii="宋体" w:hAnsi="宋体" w:eastAsia="宋体"/>
                <w:kern w:val="0"/>
                <w:sz w:val="28"/>
                <w:szCs w:val="32"/>
              </w:rPr>
              <w:t>排名第一</w:t>
            </w:r>
          </w:p>
        </w:tc>
        <w:tc>
          <w:tcPr>
            <w:tcW w:w="1417" w:type="dxa"/>
            <w:tcBorders>
              <w:top w:val="single" w:color="auto" w:sz="4" w:space="0"/>
              <w:left w:val="single" w:color="auto" w:sz="4" w:space="0"/>
              <w:bottom w:val="single" w:color="auto" w:sz="4" w:space="0"/>
              <w:right w:val="single" w:color="auto" w:sz="4" w:space="0"/>
            </w:tcBorders>
            <w:vAlign w:val="center"/>
          </w:tcPr>
          <w:p w14:paraId="03C330A4">
            <w:pPr>
              <w:widowControl/>
              <w:spacing w:line="540" w:lineRule="atLeast"/>
              <w:jc w:val="center"/>
              <w:rPr>
                <w:rFonts w:ascii="宋体" w:hAnsi="宋体" w:eastAsia="宋体"/>
                <w:kern w:val="0"/>
                <w:sz w:val="28"/>
                <w:szCs w:val="32"/>
              </w:rPr>
            </w:pPr>
            <w:r>
              <w:rPr>
                <w:rFonts w:hint="eastAsia" w:ascii="宋体" w:hAnsi="宋体" w:eastAsia="宋体"/>
                <w:kern w:val="0"/>
                <w:sz w:val="28"/>
                <w:szCs w:val="32"/>
              </w:rPr>
              <w:t>排名第二</w:t>
            </w:r>
          </w:p>
        </w:tc>
        <w:tc>
          <w:tcPr>
            <w:tcW w:w="2268" w:type="dxa"/>
            <w:tcBorders>
              <w:top w:val="single" w:color="auto" w:sz="4" w:space="0"/>
              <w:left w:val="single" w:color="auto" w:sz="4" w:space="0"/>
              <w:bottom w:val="single" w:color="auto" w:sz="4" w:space="0"/>
              <w:right w:val="single" w:color="auto" w:sz="4" w:space="0"/>
            </w:tcBorders>
            <w:vAlign w:val="center"/>
          </w:tcPr>
          <w:p w14:paraId="5BD55645">
            <w:pPr>
              <w:widowControl/>
              <w:snapToGrid w:val="0"/>
              <w:spacing w:line="540" w:lineRule="atLeast"/>
              <w:jc w:val="center"/>
              <w:rPr>
                <w:rFonts w:ascii="宋体" w:hAnsi="宋体" w:eastAsia="宋体"/>
                <w:kern w:val="0"/>
                <w:sz w:val="28"/>
                <w:szCs w:val="32"/>
              </w:rPr>
            </w:pPr>
            <w:r>
              <w:rPr>
                <w:rFonts w:hint="eastAsia" w:ascii="宋体" w:hAnsi="宋体" w:eastAsia="宋体"/>
                <w:kern w:val="0"/>
                <w:sz w:val="28"/>
                <w:szCs w:val="32"/>
              </w:rPr>
              <w:t>备注</w:t>
            </w:r>
          </w:p>
        </w:tc>
      </w:tr>
      <w:tr w14:paraId="2438FE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403" w:type="dxa"/>
            <w:tcBorders>
              <w:top w:val="single" w:color="auto" w:sz="4" w:space="0"/>
              <w:left w:val="single" w:color="auto" w:sz="4" w:space="0"/>
              <w:bottom w:val="single" w:color="auto" w:sz="4" w:space="0"/>
              <w:right w:val="single" w:color="auto" w:sz="4" w:space="0"/>
            </w:tcBorders>
            <w:vAlign w:val="center"/>
          </w:tcPr>
          <w:p w14:paraId="5A5B52EA">
            <w:pPr>
              <w:widowControl/>
              <w:snapToGrid w:val="0"/>
              <w:spacing w:line="540" w:lineRule="atLeast"/>
              <w:jc w:val="left"/>
              <w:rPr>
                <w:rFonts w:ascii="宋体" w:hAnsi="宋体" w:eastAsia="宋体"/>
                <w:kern w:val="0"/>
                <w:sz w:val="28"/>
                <w:szCs w:val="32"/>
              </w:rPr>
            </w:pPr>
            <w:r>
              <w:rPr>
                <w:rFonts w:hint="eastAsia" w:ascii="宋体" w:hAnsi="宋体" w:eastAsia="宋体"/>
                <w:kern w:val="0"/>
                <w:sz w:val="28"/>
                <w:szCs w:val="32"/>
              </w:rPr>
              <w:t>发明专利</w:t>
            </w:r>
          </w:p>
        </w:tc>
        <w:tc>
          <w:tcPr>
            <w:tcW w:w="1560" w:type="dxa"/>
            <w:tcBorders>
              <w:top w:val="single" w:color="auto" w:sz="4" w:space="0"/>
              <w:left w:val="single" w:color="auto" w:sz="4" w:space="0"/>
              <w:bottom w:val="single" w:color="auto" w:sz="4" w:space="0"/>
              <w:right w:val="single" w:color="auto" w:sz="4" w:space="0"/>
            </w:tcBorders>
            <w:vAlign w:val="center"/>
          </w:tcPr>
          <w:p w14:paraId="2EB72178">
            <w:pPr>
              <w:widowControl/>
              <w:snapToGrid w:val="0"/>
              <w:spacing w:line="540" w:lineRule="atLeast"/>
              <w:jc w:val="center"/>
              <w:rPr>
                <w:rFonts w:ascii="宋体" w:hAnsi="宋体" w:eastAsia="宋体"/>
                <w:kern w:val="0"/>
                <w:sz w:val="28"/>
                <w:szCs w:val="32"/>
              </w:rPr>
            </w:pPr>
            <w:r>
              <w:rPr>
                <w:rFonts w:ascii="宋体" w:hAnsi="宋体" w:eastAsia="宋体"/>
                <w:kern w:val="0"/>
                <w:sz w:val="28"/>
                <w:szCs w:val="32"/>
              </w:rPr>
              <w:t>8</w:t>
            </w:r>
            <w:r>
              <w:rPr>
                <w:rFonts w:hint="eastAsia" w:ascii="宋体" w:hAnsi="宋体" w:eastAsia="宋体"/>
                <w:sz w:val="28"/>
                <w:szCs w:val="32"/>
              </w:rPr>
              <w:t>分</w:t>
            </w:r>
          </w:p>
        </w:tc>
        <w:tc>
          <w:tcPr>
            <w:tcW w:w="1417" w:type="dxa"/>
            <w:tcBorders>
              <w:top w:val="single" w:color="auto" w:sz="4" w:space="0"/>
              <w:left w:val="single" w:color="auto" w:sz="4" w:space="0"/>
              <w:bottom w:val="single" w:color="auto" w:sz="4" w:space="0"/>
              <w:right w:val="single" w:color="auto" w:sz="4" w:space="0"/>
            </w:tcBorders>
            <w:vAlign w:val="center"/>
          </w:tcPr>
          <w:p w14:paraId="2C7CB1AD">
            <w:pPr>
              <w:widowControl/>
              <w:snapToGrid w:val="0"/>
              <w:spacing w:line="540" w:lineRule="atLeast"/>
              <w:jc w:val="center"/>
              <w:rPr>
                <w:rFonts w:ascii="宋体" w:hAnsi="宋体" w:eastAsia="宋体"/>
                <w:kern w:val="0"/>
                <w:sz w:val="28"/>
                <w:szCs w:val="32"/>
              </w:rPr>
            </w:pPr>
            <w:r>
              <w:rPr>
                <w:rFonts w:ascii="宋体" w:hAnsi="宋体" w:eastAsia="宋体"/>
                <w:kern w:val="0"/>
                <w:sz w:val="28"/>
                <w:szCs w:val="32"/>
              </w:rPr>
              <w:t>3</w:t>
            </w:r>
            <w:r>
              <w:rPr>
                <w:rFonts w:hint="eastAsia" w:ascii="宋体" w:hAnsi="宋体" w:eastAsia="宋体"/>
                <w:sz w:val="28"/>
                <w:szCs w:val="32"/>
              </w:rPr>
              <w:t>分</w:t>
            </w:r>
          </w:p>
        </w:tc>
        <w:tc>
          <w:tcPr>
            <w:tcW w:w="2268" w:type="dxa"/>
            <w:vMerge w:val="restart"/>
            <w:tcBorders>
              <w:top w:val="single" w:color="auto" w:sz="4" w:space="0"/>
              <w:left w:val="single" w:color="auto" w:sz="4" w:space="0"/>
              <w:right w:val="single" w:color="auto" w:sz="4" w:space="0"/>
            </w:tcBorders>
            <w:vAlign w:val="center"/>
          </w:tcPr>
          <w:p w14:paraId="46234820">
            <w:pPr>
              <w:widowControl/>
              <w:snapToGrid w:val="0"/>
              <w:spacing w:line="540" w:lineRule="atLeast"/>
              <w:jc w:val="left"/>
              <w:rPr>
                <w:rFonts w:ascii="宋体" w:hAnsi="宋体" w:eastAsia="宋体"/>
                <w:kern w:val="0"/>
                <w:sz w:val="28"/>
                <w:szCs w:val="32"/>
              </w:rPr>
            </w:pPr>
            <w:r>
              <w:rPr>
                <w:rFonts w:hint="eastAsia" w:ascii="宋体" w:hAnsi="宋体" w:eastAsia="宋体"/>
                <w:color w:val="000000"/>
                <w:sz w:val="28"/>
                <w:szCs w:val="32"/>
                <w:shd w:val="clear" w:color="auto" w:fill="FFFFFF"/>
              </w:rPr>
              <w:t>专利已获得正式授权</w:t>
            </w:r>
          </w:p>
        </w:tc>
      </w:tr>
      <w:tr w14:paraId="7B3867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403" w:type="dxa"/>
            <w:tcBorders>
              <w:top w:val="single" w:color="auto" w:sz="4" w:space="0"/>
              <w:left w:val="single" w:color="auto" w:sz="4" w:space="0"/>
              <w:bottom w:val="single" w:color="auto" w:sz="4" w:space="0"/>
              <w:right w:val="single" w:color="auto" w:sz="4" w:space="0"/>
            </w:tcBorders>
            <w:vAlign w:val="center"/>
          </w:tcPr>
          <w:p w14:paraId="0B7590E5">
            <w:pPr>
              <w:widowControl/>
              <w:snapToGrid w:val="0"/>
              <w:spacing w:line="540" w:lineRule="atLeast"/>
              <w:jc w:val="left"/>
              <w:rPr>
                <w:rFonts w:ascii="宋体" w:hAnsi="宋体" w:eastAsia="宋体"/>
                <w:kern w:val="0"/>
                <w:sz w:val="28"/>
                <w:szCs w:val="32"/>
              </w:rPr>
            </w:pPr>
            <w:r>
              <w:rPr>
                <w:rFonts w:hint="eastAsia" w:ascii="宋体" w:hAnsi="宋体" w:eastAsia="宋体"/>
                <w:kern w:val="0"/>
                <w:sz w:val="28"/>
                <w:szCs w:val="32"/>
              </w:rPr>
              <w:t>实用外型专利、外观设计专利</w:t>
            </w:r>
          </w:p>
        </w:tc>
        <w:tc>
          <w:tcPr>
            <w:tcW w:w="1560" w:type="dxa"/>
            <w:tcBorders>
              <w:top w:val="single" w:color="auto" w:sz="4" w:space="0"/>
              <w:left w:val="single" w:color="auto" w:sz="4" w:space="0"/>
              <w:bottom w:val="single" w:color="auto" w:sz="4" w:space="0"/>
              <w:right w:val="single" w:color="auto" w:sz="4" w:space="0"/>
            </w:tcBorders>
            <w:vAlign w:val="center"/>
          </w:tcPr>
          <w:p w14:paraId="60B73E56">
            <w:pPr>
              <w:widowControl/>
              <w:snapToGrid w:val="0"/>
              <w:spacing w:line="540" w:lineRule="atLeast"/>
              <w:jc w:val="center"/>
              <w:rPr>
                <w:rFonts w:ascii="宋体" w:hAnsi="宋体" w:eastAsia="宋体"/>
                <w:kern w:val="0"/>
                <w:sz w:val="28"/>
                <w:szCs w:val="32"/>
              </w:rPr>
            </w:pPr>
            <w:r>
              <w:rPr>
                <w:rFonts w:ascii="宋体" w:hAnsi="宋体" w:eastAsia="宋体"/>
                <w:kern w:val="0"/>
                <w:sz w:val="28"/>
                <w:szCs w:val="32"/>
              </w:rPr>
              <w:t>5</w:t>
            </w:r>
            <w:r>
              <w:rPr>
                <w:rFonts w:hint="eastAsia" w:ascii="宋体" w:hAnsi="宋体" w:eastAsia="宋体"/>
                <w:sz w:val="28"/>
                <w:szCs w:val="32"/>
              </w:rPr>
              <w:t>分</w:t>
            </w:r>
          </w:p>
        </w:tc>
        <w:tc>
          <w:tcPr>
            <w:tcW w:w="1417" w:type="dxa"/>
            <w:tcBorders>
              <w:top w:val="single" w:color="auto" w:sz="4" w:space="0"/>
              <w:left w:val="single" w:color="auto" w:sz="4" w:space="0"/>
              <w:bottom w:val="single" w:color="auto" w:sz="4" w:space="0"/>
              <w:right w:val="single" w:color="auto" w:sz="4" w:space="0"/>
            </w:tcBorders>
            <w:vAlign w:val="center"/>
          </w:tcPr>
          <w:p w14:paraId="4997E362">
            <w:pPr>
              <w:widowControl/>
              <w:snapToGrid w:val="0"/>
              <w:spacing w:line="540" w:lineRule="atLeast"/>
              <w:jc w:val="center"/>
              <w:rPr>
                <w:rFonts w:ascii="宋体" w:hAnsi="宋体" w:eastAsia="宋体"/>
                <w:kern w:val="0"/>
                <w:sz w:val="28"/>
                <w:szCs w:val="32"/>
              </w:rPr>
            </w:pPr>
            <w:r>
              <w:rPr>
                <w:rFonts w:ascii="宋体" w:hAnsi="宋体" w:eastAsia="宋体"/>
                <w:kern w:val="0"/>
                <w:sz w:val="28"/>
                <w:szCs w:val="32"/>
              </w:rPr>
              <w:t>1.5</w:t>
            </w:r>
            <w:r>
              <w:rPr>
                <w:rFonts w:hint="eastAsia" w:ascii="宋体" w:hAnsi="宋体" w:eastAsia="宋体"/>
                <w:sz w:val="28"/>
                <w:szCs w:val="32"/>
              </w:rPr>
              <w:t>分</w:t>
            </w:r>
          </w:p>
        </w:tc>
        <w:tc>
          <w:tcPr>
            <w:tcW w:w="2268" w:type="dxa"/>
            <w:vMerge w:val="continue"/>
            <w:tcBorders>
              <w:left w:val="single" w:color="auto" w:sz="4" w:space="0"/>
              <w:bottom w:val="single" w:color="auto" w:sz="4" w:space="0"/>
              <w:right w:val="single" w:color="auto" w:sz="4" w:space="0"/>
            </w:tcBorders>
            <w:vAlign w:val="center"/>
          </w:tcPr>
          <w:p w14:paraId="7939D358">
            <w:pPr>
              <w:widowControl/>
              <w:snapToGrid w:val="0"/>
              <w:spacing w:line="540" w:lineRule="atLeast"/>
              <w:jc w:val="left"/>
              <w:rPr>
                <w:rFonts w:ascii="宋体" w:hAnsi="宋体" w:eastAsia="宋体"/>
                <w:kern w:val="0"/>
                <w:sz w:val="28"/>
                <w:szCs w:val="32"/>
              </w:rPr>
            </w:pPr>
          </w:p>
        </w:tc>
      </w:tr>
      <w:tr w14:paraId="4F0D9D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403" w:type="dxa"/>
            <w:tcBorders>
              <w:top w:val="single" w:color="auto" w:sz="4" w:space="0"/>
              <w:left w:val="single" w:color="auto" w:sz="4" w:space="0"/>
              <w:bottom w:val="single" w:color="auto" w:sz="4" w:space="0"/>
              <w:right w:val="single" w:color="auto" w:sz="4" w:space="0"/>
            </w:tcBorders>
            <w:vAlign w:val="center"/>
          </w:tcPr>
          <w:p w14:paraId="0A273B5B">
            <w:pPr>
              <w:widowControl/>
              <w:snapToGrid w:val="0"/>
              <w:spacing w:line="540" w:lineRule="atLeast"/>
              <w:jc w:val="left"/>
              <w:rPr>
                <w:rFonts w:ascii="宋体" w:hAnsi="宋体" w:eastAsia="宋体"/>
                <w:kern w:val="0"/>
                <w:sz w:val="28"/>
                <w:szCs w:val="32"/>
              </w:rPr>
            </w:pPr>
            <w:r>
              <w:rPr>
                <w:rFonts w:hint="eastAsia" w:ascii="宋体" w:hAnsi="宋体" w:eastAsia="宋体"/>
                <w:kern w:val="0"/>
                <w:sz w:val="28"/>
                <w:szCs w:val="32"/>
              </w:rPr>
              <w:t>发明专利</w:t>
            </w:r>
          </w:p>
        </w:tc>
        <w:tc>
          <w:tcPr>
            <w:tcW w:w="1560" w:type="dxa"/>
            <w:tcBorders>
              <w:top w:val="single" w:color="auto" w:sz="4" w:space="0"/>
              <w:left w:val="single" w:color="auto" w:sz="4" w:space="0"/>
              <w:bottom w:val="single" w:color="auto" w:sz="4" w:space="0"/>
              <w:right w:val="single" w:color="auto" w:sz="4" w:space="0"/>
            </w:tcBorders>
            <w:vAlign w:val="center"/>
          </w:tcPr>
          <w:p w14:paraId="0BB515BE">
            <w:pPr>
              <w:widowControl/>
              <w:snapToGrid w:val="0"/>
              <w:spacing w:line="540" w:lineRule="atLeast"/>
              <w:jc w:val="center"/>
              <w:rPr>
                <w:rFonts w:ascii="宋体" w:hAnsi="宋体" w:eastAsia="宋体"/>
                <w:kern w:val="0"/>
                <w:sz w:val="28"/>
                <w:szCs w:val="32"/>
              </w:rPr>
            </w:pPr>
            <w:r>
              <w:rPr>
                <w:rFonts w:ascii="宋体" w:hAnsi="宋体" w:eastAsia="宋体"/>
                <w:kern w:val="0"/>
                <w:sz w:val="28"/>
                <w:szCs w:val="32"/>
              </w:rPr>
              <w:t>3</w:t>
            </w:r>
            <w:r>
              <w:rPr>
                <w:rFonts w:hint="eastAsia" w:ascii="宋体" w:hAnsi="宋体" w:eastAsia="宋体"/>
                <w:sz w:val="28"/>
                <w:szCs w:val="32"/>
              </w:rPr>
              <w:t>分</w:t>
            </w:r>
          </w:p>
        </w:tc>
        <w:tc>
          <w:tcPr>
            <w:tcW w:w="1417" w:type="dxa"/>
            <w:tcBorders>
              <w:top w:val="single" w:color="auto" w:sz="4" w:space="0"/>
              <w:left w:val="single" w:color="auto" w:sz="4" w:space="0"/>
              <w:bottom w:val="single" w:color="auto" w:sz="4" w:space="0"/>
              <w:right w:val="single" w:color="auto" w:sz="4" w:space="0"/>
            </w:tcBorders>
            <w:vAlign w:val="center"/>
          </w:tcPr>
          <w:p w14:paraId="3BEB9C21">
            <w:pPr>
              <w:widowControl/>
              <w:snapToGrid w:val="0"/>
              <w:spacing w:line="540" w:lineRule="atLeast"/>
              <w:jc w:val="center"/>
              <w:rPr>
                <w:rFonts w:ascii="宋体" w:hAnsi="宋体" w:eastAsia="宋体"/>
                <w:kern w:val="0"/>
                <w:sz w:val="28"/>
                <w:szCs w:val="32"/>
              </w:rPr>
            </w:pPr>
            <w:r>
              <w:rPr>
                <w:rFonts w:ascii="宋体" w:hAnsi="宋体" w:eastAsia="宋体"/>
                <w:kern w:val="0"/>
                <w:sz w:val="28"/>
                <w:szCs w:val="32"/>
              </w:rPr>
              <w:t>1</w:t>
            </w:r>
            <w:r>
              <w:rPr>
                <w:rFonts w:hint="eastAsia" w:ascii="宋体" w:hAnsi="宋体" w:eastAsia="宋体"/>
                <w:sz w:val="28"/>
                <w:szCs w:val="32"/>
              </w:rPr>
              <w:t>分</w:t>
            </w:r>
          </w:p>
        </w:tc>
        <w:tc>
          <w:tcPr>
            <w:tcW w:w="2268" w:type="dxa"/>
            <w:vMerge w:val="restart"/>
            <w:tcBorders>
              <w:top w:val="single" w:color="auto" w:sz="4" w:space="0"/>
              <w:left w:val="single" w:color="auto" w:sz="4" w:space="0"/>
              <w:right w:val="single" w:color="auto" w:sz="4" w:space="0"/>
            </w:tcBorders>
            <w:vAlign w:val="center"/>
          </w:tcPr>
          <w:p w14:paraId="3C328296">
            <w:pPr>
              <w:widowControl/>
              <w:snapToGrid w:val="0"/>
              <w:spacing w:line="540" w:lineRule="atLeast"/>
              <w:jc w:val="left"/>
              <w:rPr>
                <w:rFonts w:ascii="宋体" w:hAnsi="宋体" w:eastAsia="宋体"/>
                <w:kern w:val="0"/>
                <w:sz w:val="28"/>
                <w:szCs w:val="32"/>
              </w:rPr>
            </w:pPr>
            <w:r>
              <w:rPr>
                <w:rFonts w:hint="eastAsia" w:ascii="宋体" w:hAnsi="宋体" w:eastAsia="宋体"/>
                <w:color w:val="000000"/>
                <w:sz w:val="28"/>
                <w:szCs w:val="32"/>
                <w:shd w:val="clear" w:color="auto" w:fill="FFFFFF"/>
              </w:rPr>
              <w:t>专利未获得正式授权，但已公开处于实质审查阶段</w:t>
            </w:r>
          </w:p>
        </w:tc>
      </w:tr>
      <w:tr w14:paraId="75E5D1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403" w:type="dxa"/>
            <w:tcBorders>
              <w:top w:val="single" w:color="auto" w:sz="4" w:space="0"/>
              <w:left w:val="single" w:color="auto" w:sz="4" w:space="0"/>
              <w:bottom w:val="single" w:color="auto" w:sz="4" w:space="0"/>
              <w:right w:val="single" w:color="auto" w:sz="4" w:space="0"/>
            </w:tcBorders>
            <w:vAlign w:val="center"/>
          </w:tcPr>
          <w:p w14:paraId="2499FAA3">
            <w:pPr>
              <w:widowControl/>
              <w:snapToGrid w:val="0"/>
              <w:spacing w:line="540" w:lineRule="atLeast"/>
              <w:jc w:val="left"/>
              <w:rPr>
                <w:rFonts w:ascii="宋体" w:hAnsi="宋体" w:eastAsia="宋体"/>
                <w:kern w:val="0"/>
                <w:sz w:val="28"/>
                <w:szCs w:val="32"/>
              </w:rPr>
            </w:pPr>
            <w:r>
              <w:rPr>
                <w:rFonts w:hint="eastAsia" w:ascii="宋体" w:hAnsi="宋体" w:eastAsia="宋体"/>
                <w:kern w:val="0"/>
                <w:sz w:val="28"/>
                <w:szCs w:val="32"/>
              </w:rPr>
              <w:t>实用外型专利、外观设计专利</w:t>
            </w:r>
          </w:p>
        </w:tc>
        <w:tc>
          <w:tcPr>
            <w:tcW w:w="1560" w:type="dxa"/>
            <w:tcBorders>
              <w:top w:val="single" w:color="auto" w:sz="4" w:space="0"/>
              <w:left w:val="single" w:color="auto" w:sz="4" w:space="0"/>
              <w:bottom w:val="single" w:color="auto" w:sz="4" w:space="0"/>
              <w:right w:val="single" w:color="auto" w:sz="4" w:space="0"/>
            </w:tcBorders>
            <w:vAlign w:val="center"/>
          </w:tcPr>
          <w:p w14:paraId="305F041F">
            <w:pPr>
              <w:widowControl/>
              <w:snapToGrid w:val="0"/>
              <w:spacing w:line="540" w:lineRule="atLeast"/>
              <w:jc w:val="center"/>
              <w:rPr>
                <w:rFonts w:ascii="宋体" w:hAnsi="宋体" w:eastAsia="宋体"/>
                <w:kern w:val="0"/>
                <w:sz w:val="28"/>
                <w:szCs w:val="32"/>
              </w:rPr>
            </w:pPr>
            <w:r>
              <w:rPr>
                <w:rFonts w:ascii="宋体" w:hAnsi="宋体" w:eastAsia="宋体"/>
                <w:kern w:val="0"/>
                <w:sz w:val="28"/>
                <w:szCs w:val="32"/>
              </w:rPr>
              <w:t>1</w:t>
            </w:r>
            <w:r>
              <w:rPr>
                <w:rFonts w:hint="eastAsia" w:ascii="宋体" w:hAnsi="宋体" w:eastAsia="宋体"/>
                <w:sz w:val="28"/>
                <w:szCs w:val="32"/>
              </w:rPr>
              <w:t>分</w:t>
            </w:r>
          </w:p>
        </w:tc>
        <w:tc>
          <w:tcPr>
            <w:tcW w:w="1417" w:type="dxa"/>
            <w:tcBorders>
              <w:top w:val="single" w:color="auto" w:sz="4" w:space="0"/>
              <w:left w:val="single" w:color="auto" w:sz="4" w:space="0"/>
              <w:bottom w:val="single" w:color="auto" w:sz="4" w:space="0"/>
              <w:right w:val="single" w:color="auto" w:sz="4" w:space="0"/>
            </w:tcBorders>
            <w:vAlign w:val="center"/>
          </w:tcPr>
          <w:p w14:paraId="0A46E51A">
            <w:pPr>
              <w:widowControl/>
              <w:snapToGrid w:val="0"/>
              <w:spacing w:line="540" w:lineRule="atLeast"/>
              <w:jc w:val="center"/>
              <w:rPr>
                <w:rFonts w:ascii="宋体" w:hAnsi="宋体" w:eastAsia="宋体"/>
                <w:kern w:val="0"/>
                <w:sz w:val="28"/>
                <w:szCs w:val="32"/>
              </w:rPr>
            </w:pPr>
            <w:r>
              <w:rPr>
                <w:rFonts w:ascii="宋体" w:hAnsi="宋体" w:eastAsia="宋体"/>
                <w:kern w:val="0"/>
                <w:sz w:val="28"/>
                <w:szCs w:val="32"/>
              </w:rPr>
              <w:t>0.5</w:t>
            </w:r>
            <w:r>
              <w:rPr>
                <w:rFonts w:hint="eastAsia" w:ascii="宋体" w:hAnsi="宋体" w:eastAsia="宋体"/>
                <w:sz w:val="28"/>
                <w:szCs w:val="32"/>
              </w:rPr>
              <w:t>分</w:t>
            </w:r>
          </w:p>
        </w:tc>
        <w:tc>
          <w:tcPr>
            <w:tcW w:w="2268" w:type="dxa"/>
            <w:vMerge w:val="continue"/>
            <w:tcBorders>
              <w:left w:val="single" w:color="auto" w:sz="4" w:space="0"/>
              <w:bottom w:val="single" w:color="auto" w:sz="4" w:space="0"/>
              <w:right w:val="single" w:color="auto" w:sz="4" w:space="0"/>
            </w:tcBorders>
            <w:vAlign w:val="center"/>
          </w:tcPr>
          <w:p w14:paraId="5C0D33F7">
            <w:pPr>
              <w:widowControl/>
              <w:snapToGrid w:val="0"/>
              <w:spacing w:line="540" w:lineRule="atLeast"/>
              <w:jc w:val="left"/>
              <w:rPr>
                <w:rFonts w:ascii="宋体" w:hAnsi="宋体" w:eastAsia="宋体"/>
                <w:kern w:val="0"/>
                <w:sz w:val="28"/>
                <w:szCs w:val="32"/>
              </w:rPr>
            </w:pPr>
          </w:p>
        </w:tc>
      </w:tr>
    </w:tbl>
    <w:p w14:paraId="27DFECED">
      <w:pPr>
        <w:pStyle w:val="14"/>
        <w:numPr>
          <w:ilvl w:val="0"/>
          <w:numId w:val="13"/>
        </w:numPr>
        <w:tabs>
          <w:tab w:val="left" w:pos="540"/>
        </w:tabs>
        <w:spacing w:line="540" w:lineRule="atLeast"/>
        <w:ind w:left="945" w:leftChars="450" w:firstLine="0" w:firstLineChars="0"/>
        <w:rPr>
          <w:rFonts w:ascii="宋体" w:hAnsi="宋体" w:eastAsia="宋体"/>
          <w:sz w:val="32"/>
          <w:szCs w:val="32"/>
        </w:rPr>
      </w:pPr>
      <w:r>
        <w:rPr>
          <w:rFonts w:hint="eastAsia" w:ascii="宋体" w:hAnsi="宋体" w:eastAsia="宋体"/>
          <w:sz w:val="32"/>
          <w:szCs w:val="32"/>
        </w:rPr>
        <w:t>作者单位必须第一署名为中山大学。</w:t>
      </w:r>
    </w:p>
    <w:p w14:paraId="2B5ADB9C">
      <w:pPr>
        <w:pStyle w:val="14"/>
        <w:numPr>
          <w:ilvl w:val="0"/>
          <w:numId w:val="13"/>
        </w:numPr>
        <w:tabs>
          <w:tab w:val="left" w:pos="540"/>
        </w:tabs>
        <w:spacing w:line="540" w:lineRule="atLeast"/>
        <w:ind w:left="945" w:leftChars="450" w:firstLine="0" w:firstLineChars="0"/>
        <w:rPr>
          <w:rFonts w:ascii="宋体" w:hAnsi="宋体" w:eastAsia="宋体"/>
          <w:sz w:val="32"/>
          <w:szCs w:val="32"/>
        </w:rPr>
      </w:pPr>
      <w:r>
        <w:rPr>
          <w:rFonts w:hint="eastAsia" w:ascii="宋体" w:hAnsi="宋体" w:eastAsia="宋体"/>
          <w:sz w:val="32"/>
          <w:szCs w:val="32"/>
        </w:rPr>
        <w:t>专利作者排序的计算，不计指导老师（学生本人的导师或指导小组教师）的排名，即学生作者排序仅可排除前面一位教师。如：指导教师为第一作者的，第二作者可视同第一作者计分，第三作者可视同第二作者加分；指导教师为第二作者的，第三作者可视同第二作者加分；指导小组教师为第一作者的，导师为第二作者，学生第三作者可视同第二作者计分。</w:t>
      </w:r>
    </w:p>
    <w:p w14:paraId="0871ADFB">
      <w:pPr>
        <w:pStyle w:val="14"/>
        <w:numPr>
          <w:ilvl w:val="0"/>
          <w:numId w:val="13"/>
        </w:numPr>
        <w:tabs>
          <w:tab w:val="left" w:pos="540"/>
        </w:tabs>
        <w:spacing w:line="540" w:lineRule="atLeast"/>
        <w:ind w:left="945" w:leftChars="450" w:firstLine="0" w:firstLineChars="0"/>
        <w:rPr>
          <w:rFonts w:ascii="宋体" w:hAnsi="宋体" w:eastAsia="宋体"/>
          <w:sz w:val="32"/>
          <w:szCs w:val="32"/>
        </w:rPr>
      </w:pPr>
      <w:r>
        <w:rPr>
          <w:rFonts w:hint="eastAsia" w:ascii="宋体" w:hAnsi="宋体" w:eastAsia="宋体"/>
          <w:sz w:val="32"/>
          <w:szCs w:val="32"/>
        </w:rPr>
        <w:t>须提供授权书等其他相关证明材料方可加分。</w:t>
      </w:r>
    </w:p>
    <w:p w14:paraId="4DA44F9A">
      <w:pPr>
        <w:pStyle w:val="14"/>
        <w:numPr>
          <w:ilvl w:val="0"/>
          <w:numId w:val="13"/>
        </w:numPr>
        <w:tabs>
          <w:tab w:val="left" w:pos="540"/>
        </w:tabs>
        <w:spacing w:line="540" w:lineRule="atLeast"/>
        <w:ind w:left="945" w:leftChars="450" w:firstLine="0" w:firstLineChars="0"/>
        <w:rPr>
          <w:rFonts w:ascii="宋体" w:hAnsi="宋体" w:eastAsia="宋体"/>
          <w:sz w:val="32"/>
          <w:szCs w:val="32"/>
        </w:rPr>
      </w:pPr>
      <w:r>
        <w:rPr>
          <w:rFonts w:hint="eastAsia" w:ascii="宋体" w:hAnsi="宋体" w:eastAsia="宋体"/>
          <w:sz w:val="32"/>
          <w:szCs w:val="32"/>
        </w:rPr>
        <w:t>同一专利只能作为一个学年的奖助金申请材料加分一次。</w:t>
      </w:r>
    </w:p>
    <w:p w14:paraId="1F361444">
      <w:pPr>
        <w:pStyle w:val="14"/>
        <w:numPr>
          <w:ilvl w:val="1"/>
          <w:numId w:val="8"/>
        </w:numPr>
        <w:spacing w:line="540" w:lineRule="atLeast"/>
        <w:ind w:firstLineChars="0"/>
        <w:rPr>
          <w:rFonts w:ascii="宋体" w:hAnsi="宋体" w:eastAsia="宋体"/>
          <w:sz w:val="32"/>
          <w:szCs w:val="32"/>
        </w:rPr>
      </w:pPr>
      <w:r>
        <w:rPr>
          <w:rFonts w:hint="eastAsia" w:ascii="宋体" w:hAnsi="宋体" w:eastAsia="宋体"/>
          <w:sz w:val="32"/>
          <w:szCs w:val="32"/>
        </w:rPr>
        <w:t>学生干部职务加分</w:t>
      </w:r>
    </w:p>
    <w:p w14:paraId="0E73AC30">
      <w:pPr>
        <w:tabs>
          <w:tab w:val="left" w:pos="540"/>
        </w:tabs>
        <w:spacing w:line="540" w:lineRule="atLeast"/>
        <w:ind w:firstLine="640" w:firstLineChars="200"/>
        <w:rPr>
          <w:rFonts w:ascii="宋体" w:hAnsi="宋体" w:eastAsia="宋体"/>
          <w:sz w:val="32"/>
          <w:szCs w:val="32"/>
        </w:rPr>
      </w:pPr>
      <w:r>
        <w:rPr>
          <w:rFonts w:hint="eastAsia" w:ascii="宋体" w:hAnsi="宋体" w:eastAsia="宋体"/>
          <w:sz w:val="32"/>
          <w:szCs w:val="32"/>
        </w:rPr>
        <w:t>此项用以奖励积极承担社会工作的同学，身兼多职者只计最高加分（担任职务但工作不称职的不能加分）。任职时间满半年以上者，方可按全值加分。</w:t>
      </w:r>
      <w:r>
        <w:rPr>
          <w:rFonts w:hint="eastAsia" w:ascii="宋体" w:hAnsi="宋体" w:eastAsia="宋体"/>
          <w:color w:val="222222"/>
          <w:kern w:val="0"/>
          <w:sz w:val="32"/>
          <w:szCs w:val="32"/>
        </w:rPr>
        <w:t>不够半年的，得分减半。</w:t>
      </w:r>
    </w:p>
    <w:p w14:paraId="39059920">
      <w:pPr>
        <w:tabs>
          <w:tab w:val="left" w:pos="540"/>
        </w:tabs>
        <w:spacing w:line="540" w:lineRule="atLeast"/>
        <w:rPr>
          <w:rFonts w:ascii="宋体" w:hAnsi="宋体" w:eastAsia="宋体"/>
          <w:sz w:val="32"/>
          <w:szCs w:val="32"/>
        </w:rPr>
      </w:pPr>
      <w:r>
        <w:rPr>
          <w:rFonts w:hint="eastAsia" w:ascii="宋体" w:hAnsi="宋体" w:eastAsia="宋体"/>
          <w:sz w:val="32"/>
          <w:szCs w:val="32"/>
        </w:rPr>
        <w:t>担任相关校内职务的，可获如下加分：</w:t>
      </w:r>
    </w:p>
    <w:tbl>
      <w:tblPr>
        <w:tblStyle w:val="7"/>
        <w:tblW w:w="8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0"/>
        <w:gridCol w:w="1418"/>
      </w:tblGrid>
      <w:tr w14:paraId="7BE5F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60" w:type="dxa"/>
            <w:vAlign w:val="center"/>
          </w:tcPr>
          <w:p w14:paraId="06E6133C">
            <w:pPr>
              <w:tabs>
                <w:tab w:val="left" w:pos="540"/>
              </w:tabs>
              <w:spacing w:line="540" w:lineRule="atLeast"/>
              <w:jc w:val="center"/>
              <w:rPr>
                <w:rFonts w:ascii="宋体" w:hAnsi="宋体" w:eastAsia="宋体"/>
                <w:sz w:val="28"/>
                <w:szCs w:val="32"/>
              </w:rPr>
            </w:pPr>
            <w:r>
              <w:rPr>
                <w:rFonts w:hint="eastAsia" w:ascii="宋体" w:hAnsi="宋体" w:eastAsia="宋体"/>
                <w:sz w:val="28"/>
                <w:szCs w:val="32"/>
              </w:rPr>
              <w:t>社会职务</w:t>
            </w:r>
          </w:p>
        </w:tc>
        <w:tc>
          <w:tcPr>
            <w:tcW w:w="1418" w:type="dxa"/>
            <w:vAlign w:val="center"/>
          </w:tcPr>
          <w:p w14:paraId="69F18067">
            <w:pPr>
              <w:tabs>
                <w:tab w:val="left" w:pos="540"/>
              </w:tabs>
              <w:spacing w:line="540" w:lineRule="atLeast"/>
              <w:jc w:val="center"/>
              <w:rPr>
                <w:rFonts w:ascii="宋体" w:hAnsi="宋体" w:eastAsia="宋体"/>
                <w:sz w:val="28"/>
                <w:szCs w:val="32"/>
              </w:rPr>
            </w:pPr>
            <w:r>
              <w:rPr>
                <w:rFonts w:hint="eastAsia" w:ascii="宋体" w:hAnsi="宋体" w:eastAsia="宋体"/>
                <w:sz w:val="28"/>
                <w:szCs w:val="32"/>
              </w:rPr>
              <w:t>加分分值</w:t>
            </w:r>
          </w:p>
        </w:tc>
      </w:tr>
      <w:tr w14:paraId="1E2EC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60" w:type="dxa"/>
            <w:vAlign w:val="center"/>
          </w:tcPr>
          <w:p w14:paraId="643C53A5">
            <w:pPr>
              <w:tabs>
                <w:tab w:val="left" w:pos="540"/>
              </w:tabs>
              <w:spacing w:line="540" w:lineRule="atLeast"/>
              <w:rPr>
                <w:rFonts w:ascii="宋体" w:hAnsi="宋体" w:eastAsia="宋体"/>
                <w:sz w:val="28"/>
                <w:szCs w:val="32"/>
              </w:rPr>
            </w:pPr>
            <w:r>
              <w:rPr>
                <w:rFonts w:hint="eastAsia" w:ascii="宋体" w:hAnsi="宋体" w:eastAsia="宋体"/>
                <w:sz w:val="28"/>
                <w:szCs w:val="32"/>
              </w:rPr>
              <w:t>校研究生会主席</w:t>
            </w:r>
          </w:p>
        </w:tc>
        <w:tc>
          <w:tcPr>
            <w:tcW w:w="1418" w:type="dxa"/>
            <w:vAlign w:val="center"/>
          </w:tcPr>
          <w:p w14:paraId="6F9F239D">
            <w:pPr>
              <w:tabs>
                <w:tab w:val="left" w:pos="540"/>
              </w:tabs>
              <w:spacing w:line="540" w:lineRule="atLeast"/>
              <w:jc w:val="center"/>
              <w:rPr>
                <w:rFonts w:ascii="宋体" w:hAnsi="宋体" w:eastAsia="宋体"/>
                <w:sz w:val="28"/>
                <w:szCs w:val="32"/>
              </w:rPr>
            </w:pPr>
            <w:r>
              <w:rPr>
                <w:rFonts w:ascii="宋体" w:hAnsi="宋体" w:eastAsia="宋体"/>
                <w:sz w:val="28"/>
                <w:szCs w:val="32"/>
              </w:rPr>
              <w:t>4.5</w:t>
            </w:r>
            <w:r>
              <w:rPr>
                <w:rFonts w:hint="eastAsia" w:ascii="宋体" w:hAnsi="宋体" w:eastAsia="宋体"/>
                <w:sz w:val="28"/>
                <w:szCs w:val="32"/>
              </w:rPr>
              <w:t>分</w:t>
            </w:r>
          </w:p>
        </w:tc>
      </w:tr>
      <w:tr w14:paraId="7DA5D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60" w:type="dxa"/>
            <w:vAlign w:val="center"/>
          </w:tcPr>
          <w:p w14:paraId="430354EE">
            <w:pPr>
              <w:tabs>
                <w:tab w:val="left" w:pos="540"/>
              </w:tabs>
              <w:spacing w:line="540" w:lineRule="atLeast"/>
              <w:rPr>
                <w:rFonts w:ascii="宋体" w:hAnsi="宋体" w:eastAsia="宋体"/>
                <w:sz w:val="28"/>
                <w:szCs w:val="32"/>
              </w:rPr>
            </w:pPr>
            <w:r>
              <w:rPr>
                <w:rFonts w:hint="eastAsia" w:ascii="宋体" w:hAnsi="宋体" w:eastAsia="宋体"/>
                <w:sz w:val="28"/>
                <w:szCs w:val="32"/>
              </w:rPr>
              <w:t>校研究生会副主席、院研究生会主席及团总支副书记</w:t>
            </w:r>
          </w:p>
        </w:tc>
        <w:tc>
          <w:tcPr>
            <w:tcW w:w="1418" w:type="dxa"/>
            <w:vAlign w:val="center"/>
          </w:tcPr>
          <w:p w14:paraId="5D08A5D9">
            <w:pPr>
              <w:tabs>
                <w:tab w:val="left" w:pos="540"/>
              </w:tabs>
              <w:spacing w:line="540" w:lineRule="atLeast"/>
              <w:jc w:val="center"/>
              <w:rPr>
                <w:rFonts w:ascii="宋体" w:hAnsi="宋体" w:eastAsia="宋体"/>
                <w:sz w:val="28"/>
                <w:szCs w:val="32"/>
              </w:rPr>
            </w:pPr>
            <w:r>
              <w:rPr>
                <w:rFonts w:ascii="宋体" w:hAnsi="宋体" w:eastAsia="宋体"/>
                <w:sz w:val="28"/>
                <w:szCs w:val="32"/>
              </w:rPr>
              <w:t>4</w:t>
            </w:r>
            <w:r>
              <w:rPr>
                <w:rFonts w:hint="eastAsia" w:ascii="宋体" w:hAnsi="宋体" w:eastAsia="宋体"/>
                <w:sz w:val="28"/>
                <w:szCs w:val="32"/>
              </w:rPr>
              <w:t>分</w:t>
            </w:r>
          </w:p>
        </w:tc>
      </w:tr>
      <w:tr w14:paraId="3FAC4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60" w:type="dxa"/>
            <w:vAlign w:val="center"/>
          </w:tcPr>
          <w:p w14:paraId="7750AA4A">
            <w:pPr>
              <w:tabs>
                <w:tab w:val="left" w:pos="540"/>
              </w:tabs>
              <w:spacing w:line="540" w:lineRule="atLeast"/>
              <w:rPr>
                <w:rFonts w:ascii="宋体" w:hAnsi="宋体" w:eastAsia="宋体"/>
                <w:sz w:val="28"/>
                <w:szCs w:val="32"/>
              </w:rPr>
            </w:pPr>
            <w:r>
              <w:rPr>
                <w:rFonts w:hint="eastAsia" w:ascii="宋体" w:hAnsi="宋体" w:eastAsia="宋体"/>
                <w:sz w:val="28"/>
                <w:szCs w:val="32"/>
              </w:rPr>
              <w:t>院研究生团总支常委、院研究生会主席团成员、院研究生党支部书记、班长、团支部书记、院社团负责人</w:t>
            </w:r>
          </w:p>
        </w:tc>
        <w:tc>
          <w:tcPr>
            <w:tcW w:w="1418" w:type="dxa"/>
            <w:vAlign w:val="center"/>
          </w:tcPr>
          <w:p w14:paraId="2A600BDF">
            <w:pPr>
              <w:tabs>
                <w:tab w:val="left" w:pos="540"/>
              </w:tabs>
              <w:spacing w:line="540" w:lineRule="atLeast"/>
              <w:jc w:val="center"/>
              <w:rPr>
                <w:rFonts w:ascii="宋体" w:hAnsi="宋体" w:eastAsia="宋体"/>
                <w:sz w:val="28"/>
                <w:szCs w:val="32"/>
              </w:rPr>
            </w:pPr>
            <w:r>
              <w:rPr>
                <w:rFonts w:ascii="宋体" w:hAnsi="宋体" w:eastAsia="宋体"/>
                <w:sz w:val="28"/>
                <w:szCs w:val="32"/>
              </w:rPr>
              <w:t>3</w:t>
            </w:r>
            <w:r>
              <w:rPr>
                <w:rFonts w:hint="eastAsia" w:ascii="宋体" w:hAnsi="宋体" w:eastAsia="宋体"/>
                <w:sz w:val="28"/>
                <w:szCs w:val="32"/>
              </w:rPr>
              <w:t>分</w:t>
            </w:r>
          </w:p>
        </w:tc>
      </w:tr>
      <w:tr w14:paraId="1CEEA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60" w:type="dxa"/>
            <w:vAlign w:val="center"/>
          </w:tcPr>
          <w:p w14:paraId="197D7BF7">
            <w:pPr>
              <w:tabs>
                <w:tab w:val="left" w:pos="540"/>
              </w:tabs>
              <w:spacing w:line="540" w:lineRule="atLeast"/>
              <w:rPr>
                <w:rFonts w:ascii="宋体" w:hAnsi="宋体" w:eastAsia="宋体"/>
                <w:sz w:val="28"/>
                <w:szCs w:val="32"/>
              </w:rPr>
            </w:pPr>
            <w:r>
              <w:rPr>
                <w:rFonts w:hint="eastAsia" w:ascii="宋体" w:hAnsi="宋体" w:eastAsia="宋体"/>
                <w:sz w:val="28"/>
                <w:szCs w:val="32"/>
              </w:rPr>
              <w:t>研究生党支部副书记、副班长、院研究生会部长、院研究生团总支部长、院社团部长</w:t>
            </w:r>
          </w:p>
        </w:tc>
        <w:tc>
          <w:tcPr>
            <w:tcW w:w="1418" w:type="dxa"/>
            <w:vAlign w:val="center"/>
          </w:tcPr>
          <w:p w14:paraId="78D85CBA">
            <w:pPr>
              <w:tabs>
                <w:tab w:val="left" w:pos="540"/>
              </w:tabs>
              <w:spacing w:line="540" w:lineRule="atLeast"/>
              <w:jc w:val="center"/>
              <w:rPr>
                <w:rFonts w:ascii="宋体" w:hAnsi="宋体" w:eastAsia="宋体"/>
                <w:sz w:val="28"/>
                <w:szCs w:val="32"/>
              </w:rPr>
            </w:pPr>
            <w:r>
              <w:rPr>
                <w:rFonts w:ascii="宋体" w:hAnsi="宋体" w:eastAsia="宋体"/>
                <w:sz w:val="28"/>
                <w:szCs w:val="32"/>
              </w:rPr>
              <w:t>2</w:t>
            </w:r>
            <w:r>
              <w:rPr>
                <w:rFonts w:hint="eastAsia" w:ascii="宋体" w:hAnsi="宋体" w:eastAsia="宋体"/>
                <w:sz w:val="28"/>
                <w:szCs w:val="32"/>
              </w:rPr>
              <w:t>分</w:t>
            </w:r>
          </w:p>
        </w:tc>
      </w:tr>
      <w:tr w14:paraId="32316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60" w:type="dxa"/>
            <w:vAlign w:val="center"/>
          </w:tcPr>
          <w:p w14:paraId="6865952C">
            <w:pPr>
              <w:tabs>
                <w:tab w:val="left" w:pos="540"/>
              </w:tabs>
              <w:spacing w:line="540" w:lineRule="atLeast"/>
              <w:rPr>
                <w:rFonts w:ascii="宋体" w:hAnsi="宋体" w:eastAsia="宋体"/>
                <w:sz w:val="28"/>
                <w:szCs w:val="32"/>
              </w:rPr>
            </w:pPr>
            <w:r>
              <w:rPr>
                <w:rFonts w:hint="eastAsia" w:ascii="宋体" w:hAnsi="宋体" w:eastAsia="宋体"/>
                <w:sz w:val="28"/>
                <w:szCs w:val="32"/>
              </w:rPr>
              <w:t>其他班委、支部委员、研究生会副部长、研究生团总支副部长、院社团副部长</w:t>
            </w:r>
          </w:p>
        </w:tc>
        <w:tc>
          <w:tcPr>
            <w:tcW w:w="1418" w:type="dxa"/>
            <w:vAlign w:val="center"/>
          </w:tcPr>
          <w:p w14:paraId="49EF8127">
            <w:pPr>
              <w:tabs>
                <w:tab w:val="left" w:pos="540"/>
              </w:tabs>
              <w:spacing w:line="540" w:lineRule="atLeast"/>
              <w:jc w:val="center"/>
              <w:rPr>
                <w:rFonts w:ascii="宋体" w:hAnsi="宋体" w:eastAsia="宋体"/>
                <w:sz w:val="28"/>
                <w:szCs w:val="32"/>
              </w:rPr>
            </w:pPr>
            <w:r>
              <w:rPr>
                <w:rFonts w:ascii="宋体" w:hAnsi="宋体" w:eastAsia="宋体"/>
                <w:sz w:val="28"/>
                <w:szCs w:val="32"/>
              </w:rPr>
              <w:t>1.5</w:t>
            </w:r>
            <w:r>
              <w:rPr>
                <w:rFonts w:hint="eastAsia" w:ascii="宋体" w:hAnsi="宋体" w:eastAsia="宋体"/>
                <w:sz w:val="28"/>
                <w:szCs w:val="32"/>
              </w:rPr>
              <w:t>分</w:t>
            </w:r>
          </w:p>
        </w:tc>
      </w:tr>
    </w:tbl>
    <w:p w14:paraId="0631615A">
      <w:pPr>
        <w:widowControl/>
        <w:numPr>
          <w:ilvl w:val="0"/>
          <w:numId w:val="14"/>
        </w:numPr>
        <w:snapToGrid w:val="0"/>
        <w:spacing w:line="540" w:lineRule="atLeast"/>
        <w:ind w:left="420" w:leftChars="200"/>
        <w:rPr>
          <w:rFonts w:ascii="宋体" w:hAnsi="宋体" w:eastAsia="宋体"/>
          <w:sz w:val="32"/>
          <w:szCs w:val="32"/>
        </w:rPr>
      </w:pPr>
      <w:r>
        <w:rPr>
          <w:rFonts w:ascii="宋体" w:hAnsi="宋体" w:eastAsia="宋体"/>
          <w:sz w:val="32"/>
          <w:szCs w:val="32"/>
        </w:rPr>
        <w:t xml:space="preserve"> </w:t>
      </w:r>
      <w:r>
        <w:rPr>
          <w:rFonts w:hint="eastAsia" w:ascii="宋体" w:hAnsi="宋体" w:eastAsia="宋体"/>
          <w:sz w:val="32"/>
          <w:szCs w:val="32"/>
        </w:rPr>
        <w:t>除上述</w:t>
      </w:r>
      <w:r>
        <w:rPr>
          <w:rFonts w:ascii="宋体" w:hAnsi="宋体" w:eastAsia="宋体"/>
          <w:sz w:val="32"/>
          <w:szCs w:val="32"/>
        </w:rPr>
        <w:t>1-3</w:t>
      </w:r>
      <w:r>
        <w:rPr>
          <w:rFonts w:hint="eastAsia" w:ascii="宋体" w:hAnsi="宋体" w:eastAsia="宋体"/>
          <w:sz w:val="32"/>
          <w:szCs w:val="32"/>
        </w:rPr>
        <w:t>外的其他类型或级别的突出成果或贡献，</w:t>
      </w:r>
      <w:r>
        <w:rPr>
          <w:rFonts w:ascii="宋体" w:hAnsi="宋体" w:eastAsia="宋体"/>
          <w:sz w:val="32"/>
          <w:szCs w:val="32"/>
        </w:rPr>
        <w:t xml:space="preserve"> </w:t>
      </w:r>
      <w:r>
        <w:rPr>
          <w:rFonts w:hint="eastAsia" w:ascii="宋体" w:hAnsi="宋体" w:eastAsia="宋体"/>
          <w:sz w:val="32"/>
          <w:szCs w:val="32"/>
        </w:rPr>
        <w:t>学生可提出申请，由学院研究生奖学金评审委员会讨论决定是否加分以及分值。</w:t>
      </w:r>
    </w:p>
    <w:p w14:paraId="444C69AB">
      <w:pPr>
        <w:spacing w:before="156" w:beforeLines="50" w:after="156" w:afterLines="50" w:line="540" w:lineRule="atLeast"/>
        <w:jc w:val="center"/>
        <w:rPr>
          <w:rFonts w:ascii="宋体" w:hAnsi="宋体" w:eastAsia="宋体"/>
          <w:b/>
          <w:bCs/>
          <w:sz w:val="32"/>
          <w:szCs w:val="32"/>
        </w:rPr>
      </w:pPr>
      <w:r>
        <w:rPr>
          <w:rFonts w:hint="eastAsia" w:ascii="宋体" w:hAnsi="宋体" w:eastAsia="宋体"/>
          <w:b/>
          <w:bCs/>
          <w:sz w:val="32"/>
          <w:szCs w:val="32"/>
        </w:rPr>
        <w:t>第八章</w:t>
      </w:r>
      <w:r>
        <w:rPr>
          <w:rFonts w:ascii="宋体" w:hAnsi="宋体" w:eastAsia="宋体"/>
          <w:b/>
          <w:bCs/>
          <w:sz w:val="32"/>
          <w:szCs w:val="32"/>
        </w:rPr>
        <w:tab/>
      </w:r>
      <w:r>
        <w:rPr>
          <w:rFonts w:hint="eastAsia" w:ascii="宋体" w:hAnsi="宋体" w:eastAsia="宋体"/>
          <w:b/>
          <w:bCs/>
          <w:sz w:val="32"/>
          <w:szCs w:val="32"/>
        </w:rPr>
        <w:t>附则</w:t>
      </w:r>
    </w:p>
    <w:p w14:paraId="33D385F5">
      <w:pPr>
        <w:spacing w:line="540" w:lineRule="atLeast"/>
        <w:ind w:firstLine="420"/>
        <w:rPr>
          <w:rFonts w:ascii="宋体" w:hAnsi="宋体" w:eastAsia="宋体"/>
          <w:sz w:val="32"/>
          <w:szCs w:val="32"/>
        </w:rPr>
      </w:pPr>
      <w:r>
        <w:rPr>
          <w:rFonts w:hint="eastAsia" w:ascii="宋体" w:hAnsi="宋体" w:eastAsia="宋体"/>
          <w:b/>
          <w:bCs/>
          <w:sz w:val="32"/>
          <w:szCs w:val="32"/>
        </w:rPr>
        <w:t>第十七条</w:t>
      </w:r>
      <w:r>
        <w:rPr>
          <w:rFonts w:ascii="宋体" w:hAnsi="宋体" w:eastAsia="宋体"/>
          <w:b/>
          <w:bCs/>
          <w:sz w:val="32"/>
          <w:szCs w:val="32"/>
        </w:rPr>
        <w:t xml:space="preserve">  </w:t>
      </w:r>
      <w:r>
        <w:rPr>
          <w:rFonts w:hint="eastAsia" w:ascii="宋体" w:hAnsi="宋体" w:eastAsia="宋体"/>
          <w:sz w:val="32"/>
          <w:szCs w:val="32"/>
        </w:rPr>
        <w:t>附则</w:t>
      </w:r>
    </w:p>
    <w:p w14:paraId="2972E7BB">
      <w:pPr>
        <w:widowControl/>
        <w:tabs>
          <w:tab w:val="left" w:pos="360"/>
        </w:tabs>
        <w:snapToGrid w:val="0"/>
        <w:spacing w:line="540" w:lineRule="atLeast"/>
        <w:ind w:firstLine="640" w:firstLineChars="200"/>
        <w:jc w:val="left"/>
        <w:rPr>
          <w:rFonts w:ascii="宋体" w:hAnsi="宋体" w:eastAsia="宋体"/>
          <w:color w:val="222222"/>
          <w:kern w:val="0"/>
          <w:sz w:val="32"/>
          <w:szCs w:val="32"/>
        </w:rPr>
      </w:pPr>
      <w:r>
        <w:rPr>
          <w:rFonts w:ascii="宋体" w:hAnsi="宋体" w:eastAsia="宋体"/>
          <w:color w:val="222222"/>
          <w:kern w:val="0"/>
          <w:sz w:val="32"/>
          <w:szCs w:val="32"/>
        </w:rPr>
        <w:t>1.</w:t>
      </w:r>
      <w:r>
        <w:rPr>
          <w:rFonts w:hint="eastAsia" w:ascii="宋体" w:hAnsi="宋体" w:eastAsia="宋体"/>
          <w:color w:val="222222"/>
          <w:kern w:val="0"/>
          <w:sz w:val="32"/>
          <w:szCs w:val="32"/>
        </w:rPr>
        <w:t>评选过程要求公正、公平、公开，参评者提供的材料必须真实可信，如有弄虚作假，一经查实即取消参评资格并按学校有关规定处理。</w:t>
      </w:r>
    </w:p>
    <w:p w14:paraId="47DBB028">
      <w:pPr>
        <w:widowControl/>
        <w:tabs>
          <w:tab w:val="left" w:pos="360"/>
        </w:tabs>
        <w:snapToGrid w:val="0"/>
        <w:spacing w:line="540" w:lineRule="atLeast"/>
        <w:ind w:firstLine="640" w:firstLineChars="200"/>
        <w:jc w:val="left"/>
        <w:rPr>
          <w:rFonts w:ascii="宋体" w:hAnsi="宋体" w:eastAsia="宋体"/>
          <w:color w:val="222222"/>
          <w:kern w:val="0"/>
          <w:sz w:val="32"/>
          <w:szCs w:val="32"/>
        </w:rPr>
      </w:pPr>
      <w:r>
        <w:rPr>
          <w:rFonts w:ascii="宋体" w:hAnsi="宋体" w:eastAsia="宋体"/>
          <w:color w:val="222222"/>
          <w:kern w:val="0"/>
          <w:sz w:val="32"/>
          <w:szCs w:val="32"/>
        </w:rPr>
        <w:t>2.</w:t>
      </w:r>
      <w:r>
        <w:rPr>
          <w:rFonts w:hint="eastAsia" w:ascii="宋体" w:hAnsi="宋体" w:eastAsia="宋体"/>
          <w:color w:val="222222"/>
          <w:kern w:val="0"/>
          <w:sz w:val="32"/>
          <w:szCs w:val="32"/>
        </w:rPr>
        <w:t>本办法涉及的加分项目</w:t>
      </w:r>
      <w:r>
        <w:rPr>
          <w:rFonts w:ascii="宋体" w:hAnsi="宋体" w:eastAsia="宋体"/>
          <w:color w:val="222222"/>
          <w:kern w:val="0"/>
          <w:sz w:val="32"/>
          <w:szCs w:val="32"/>
        </w:rPr>
        <w:t>(</w:t>
      </w:r>
      <w:r>
        <w:rPr>
          <w:rFonts w:hint="eastAsia" w:ascii="宋体" w:hAnsi="宋体" w:eastAsia="宋体"/>
          <w:color w:val="222222"/>
          <w:kern w:val="0"/>
          <w:sz w:val="32"/>
          <w:szCs w:val="32"/>
        </w:rPr>
        <w:t>包括成绩、成果、任职、奖惩等</w:t>
      </w:r>
      <w:r>
        <w:rPr>
          <w:rFonts w:ascii="宋体" w:hAnsi="宋体" w:eastAsia="宋体"/>
          <w:color w:val="222222"/>
          <w:kern w:val="0"/>
          <w:sz w:val="32"/>
          <w:szCs w:val="32"/>
        </w:rPr>
        <w:t>)</w:t>
      </w:r>
      <w:r>
        <w:rPr>
          <w:rFonts w:hint="eastAsia" w:ascii="宋体" w:hAnsi="宋体" w:eastAsia="宋体"/>
          <w:color w:val="222222"/>
          <w:kern w:val="0"/>
          <w:sz w:val="32"/>
          <w:szCs w:val="32"/>
        </w:rPr>
        <w:t>的有效时限，原则上是指本学年度，具体日期区间以当年发布的通知为准。</w:t>
      </w:r>
    </w:p>
    <w:p w14:paraId="4BDACF41">
      <w:pPr>
        <w:widowControl/>
        <w:tabs>
          <w:tab w:val="left" w:pos="360"/>
        </w:tabs>
        <w:snapToGrid w:val="0"/>
        <w:spacing w:line="540" w:lineRule="atLeast"/>
        <w:ind w:firstLine="640" w:firstLineChars="200"/>
        <w:jc w:val="left"/>
        <w:rPr>
          <w:rFonts w:ascii="宋体" w:hAnsi="宋体" w:eastAsia="宋体"/>
          <w:color w:val="222222"/>
          <w:kern w:val="0"/>
          <w:sz w:val="32"/>
          <w:szCs w:val="32"/>
        </w:rPr>
      </w:pPr>
      <w:r>
        <w:rPr>
          <w:rFonts w:ascii="宋体" w:hAnsi="宋体" w:eastAsia="宋体"/>
          <w:color w:val="222222"/>
          <w:kern w:val="0"/>
          <w:sz w:val="32"/>
          <w:szCs w:val="32"/>
        </w:rPr>
        <w:t>3.</w:t>
      </w:r>
      <w:r>
        <w:rPr>
          <w:rFonts w:hint="eastAsia" w:ascii="宋体" w:hAnsi="宋体" w:eastAsia="宋体"/>
          <w:color w:val="222222"/>
          <w:kern w:val="0"/>
          <w:sz w:val="32"/>
          <w:szCs w:val="32"/>
        </w:rPr>
        <w:t>本办法由学院研究生奖助金评选委员会负责起草、编制，并将根据学院发展变化的需要，不定期组织修订；后经学院领导审议通过后生效；由研究生奖助金评选委员会具体组织实施。未尽事宜，由研究生奖助金评选委员会负责解释。</w:t>
      </w:r>
    </w:p>
    <w:p w14:paraId="2E5049FE">
      <w:pPr>
        <w:widowControl/>
        <w:tabs>
          <w:tab w:val="left" w:pos="360"/>
        </w:tabs>
        <w:snapToGrid w:val="0"/>
        <w:spacing w:line="540" w:lineRule="atLeast"/>
        <w:ind w:firstLine="640" w:firstLineChars="200"/>
        <w:jc w:val="left"/>
        <w:rPr>
          <w:rFonts w:ascii="宋体" w:hAnsi="宋体" w:eastAsia="宋体"/>
          <w:color w:val="222222"/>
          <w:kern w:val="0"/>
          <w:sz w:val="32"/>
          <w:szCs w:val="32"/>
        </w:rPr>
      </w:pPr>
      <w:r>
        <w:rPr>
          <w:rFonts w:ascii="宋体" w:hAnsi="宋体" w:eastAsia="宋体"/>
          <w:color w:val="222222"/>
          <w:kern w:val="0"/>
          <w:sz w:val="32"/>
          <w:szCs w:val="32"/>
        </w:rPr>
        <w:t>4.</w:t>
      </w:r>
      <w:r>
        <w:rPr>
          <w:rFonts w:hint="eastAsia" w:ascii="宋体" w:hAnsi="宋体" w:eastAsia="宋体"/>
          <w:color w:val="222222"/>
          <w:kern w:val="0"/>
          <w:sz w:val="32"/>
          <w:szCs w:val="32"/>
        </w:rPr>
        <w:t>如本评定方法与学校最新公布的相关规定有冲突，以学校相关规定为准。</w:t>
      </w:r>
    </w:p>
    <w:p w14:paraId="02E2CFFE">
      <w:pPr>
        <w:widowControl/>
        <w:tabs>
          <w:tab w:val="left" w:pos="360"/>
        </w:tabs>
        <w:snapToGrid w:val="0"/>
        <w:spacing w:line="540" w:lineRule="atLeast"/>
        <w:ind w:firstLine="640" w:firstLineChars="200"/>
        <w:jc w:val="left"/>
        <w:rPr>
          <w:rFonts w:ascii="宋体" w:hAnsi="宋体" w:eastAsia="宋体"/>
          <w:color w:val="222222"/>
          <w:kern w:val="0"/>
          <w:sz w:val="32"/>
          <w:szCs w:val="32"/>
        </w:rPr>
      </w:pPr>
      <w:r>
        <w:rPr>
          <w:rFonts w:ascii="宋体" w:hAnsi="宋体" w:eastAsia="宋体"/>
          <w:color w:val="222222"/>
          <w:kern w:val="0"/>
          <w:sz w:val="32"/>
          <w:szCs w:val="32"/>
        </w:rPr>
        <w:t>5.</w:t>
      </w:r>
      <w:r>
        <w:rPr>
          <w:rFonts w:hint="eastAsia" w:ascii="宋体" w:hAnsi="宋体" w:eastAsia="宋体"/>
          <w:color w:val="222222"/>
          <w:kern w:val="0"/>
          <w:sz w:val="32"/>
          <w:szCs w:val="32"/>
        </w:rPr>
        <w:t>本办法自</w:t>
      </w:r>
      <w:r>
        <w:rPr>
          <w:rFonts w:ascii="宋体" w:hAnsi="宋体" w:eastAsia="宋体"/>
          <w:color w:val="222222"/>
          <w:kern w:val="0"/>
          <w:sz w:val="32"/>
          <w:szCs w:val="32"/>
        </w:rPr>
        <w:t>202</w:t>
      </w:r>
      <w:r>
        <w:rPr>
          <w:rFonts w:hint="eastAsia" w:ascii="宋体" w:hAnsi="宋体"/>
          <w:color w:val="222222"/>
          <w:kern w:val="0"/>
          <w:sz w:val="32"/>
          <w:szCs w:val="32"/>
          <w:lang w:val="en-US" w:eastAsia="zh-CN"/>
        </w:rPr>
        <w:t>3</w:t>
      </w:r>
      <w:r>
        <w:rPr>
          <w:rFonts w:hint="eastAsia" w:ascii="宋体" w:hAnsi="宋体" w:eastAsia="宋体"/>
          <w:color w:val="222222"/>
          <w:kern w:val="0"/>
          <w:sz w:val="32"/>
          <w:szCs w:val="32"/>
        </w:rPr>
        <w:t>年</w:t>
      </w:r>
      <w:r>
        <w:rPr>
          <w:rFonts w:hint="eastAsia" w:ascii="宋体" w:hAnsi="宋体"/>
          <w:color w:val="222222"/>
          <w:kern w:val="0"/>
          <w:sz w:val="32"/>
          <w:szCs w:val="32"/>
          <w:lang w:val="en-US" w:eastAsia="zh-CN"/>
        </w:rPr>
        <w:t>起</w:t>
      </w:r>
      <w:bookmarkStart w:id="0" w:name="_GoBack"/>
      <w:bookmarkEnd w:id="0"/>
      <w:r>
        <w:rPr>
          <w:rFonts w:hint="eastAsia" w:ascii="宋体" w:hAnsi="宋体" w:eastAsia="宋体"/>
          <w:color w:val="222222"/>
          <w:kern w:val="0"/>
          <w:sz w:val="32"/>
          <w:szCs w:val="32"/>
        </w:rPr>
        <w:t>开始实施。</w:t>
      </w:r>
    </w:p>
    <w:p w14:paraId="0F1C7D04">
      <w:pPr>
        <w:ind w:firstLine="640" w:firstLineChars="200"/>
        <w:jc w:val="right"/>
        <w:rPr>
          <w:rFonts w:ascii="宋体" w:hAnsi="宋体" w:eastAsia="宋体"/>
          <w:sz w:val="32"/>
          <w:szCs w:val="32"/>
        </w:rPr>
      </w:pPr>
      <w:r>
        <w:rPr>
          <w:rFonts w:hint="eastAsia" w:ascii="宋体" w:hAnsi="宋体" w:eastAsia="宋体"/>
          <w:sz w:val="32"/>
          <w:szCs w:val="32"/>
        </w:rPr>
        <w:t>软件工程学院</w:t>
      </w:r>
    </w:p>
    <w:p w14:paraId="2CD6545C">
      <w:pPr>
        <w:ind w:firstLine="640" w:firstLineChars="200"/>
        <w:jc w:val="right"/>
        <w:rPr>
          <w:rFonts w:ascii="宋体" w:hAnsi="宋体" w:eastAsia="宋体"/>
          <w:sz w:val="32"/>
          <w:szCs w:val="32"/>
        </w:rPr>
      </w:pPr>
      <w:r>
        <w:rPr>
          <w:rFonts w:ascii="宋体" w:hAnsi="宋体" w:eastAsia="宋体"/>
          <w:sz w:val="32"/>
          <w:szCs w:val="32"/>
        </w:rPr>
        <w:t>2023</w:t>
      </w:r>
      <w:r>
        <w:rPr>
          <w:rFonts w:hint="eastAsia" w:ascii="宋体" w:hAnsi="宋体" w:eastAsia="宋体"/>
          <w:sz w:val="32"/>
          <w:szCs w:val="32"/>
        </w:rPr>
        <w:t>年</w:t>
      </w:r>
      <w:r>
        <w:rPr>
          <w:rFonts w:hint="eastAsia" w:ascii="宋体" w:hAnsi="宋体"/>
          <w:sz w:val="32"/>
          <w:szCs w:val="32"/>
          <w:lang w:val="en-US" w:eastAsia="zh-CN"/>
        </w:rPr>
        <w:t>4</w:t>
      </w:r>
      <w:r>
        <w:rPr>
          <w:rFonts w:hint="eastAsia" w:ascii="宋体" w:hAnsi="宋体" w:eastAsia="宋体"/>
          <w:sz w:val="32"/>
          <w:szCs w:val="32"/>
        </w:rPr>
        <w:t>月</w:t>
      </w:r>
      <w:r>
        <w:rPr>
          <w:rFonts w:hint="eastAsia" w:ascii="宋体" w:hAnsi="宋体"/>
          <w:sz w:val="32"/>
          <w:szCs w:val="32"/>
          <w:lang w:val="en-US" w:eastAsia="zh-CN"/>
        </w:rPr>
        <w:t>12</w:t>
      </w:r>
      <w:r>
        <w:rPr>
          <w:rFonts w:hint="eastAsia" w:ascii="宋体" w:hAnsi="宋体" w:eastAsia="宋体"/>
          <w:sz w:val="32"/>
          <w:szCs w:val="32"/>
        </w:rPr>
        <w:t>日</w:t>
      </w:r>
    </w:p>
    <w:p w14:paraId="0EE0CF10">
      <w:pPr>
        <w:widowControl/>
        <w:tabs>
          <w:tab w:val="left" w:pos="360"/>
        </w:tabs>
        <w:snapToGrid w:val="0"/>
        <w:spacing w:line="540" w:lineRule="atLeast"/>
        <w:ind w:firstLine="640" w:firstLineChars="200"/>
        <w:jc w:val="left"/>
        <w:rPr>
          <w:rFonts w:ascii="宋体" w:hAnsi="宋体" w:eastAsia="宋体"/>
          <w:color w:val="222222"/>
          <w:kern w:val="0"/>
          <w:sz w:val="32"/>
          <w:szCs w:val="32"/>
        </w:rPr>
      </w:pPr>
    </w:p>
    <w:p w14:paraId="3E42E40F">
      <w:pPr>
        <w:widowControl/>
        <w:jc w:val="left"/>
        <w:rPr>
          <w:rFonts w:ascii="宋体" w:hAnsi="宋体" w:eastAsia="宋体"/>
          <w:sz w:val="36"/>
          <w:szCs w:val="36"/>
        </w:rPr>
      </w:pPr>
    </w:p>
    <w:sectPr>
      <w:foot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52DBA">
    <w:pPr>
      <w:pStyle w:val="4"/>
    </w:pPr>
    <w:r>
      <w:fldChar w:fldCharType="begin"/>
    </w:r>
    <w:r>
      <w:instrText xml:space="preserve">PAGE   \* MERGEFORMAT</w:instrText>
    </w:r>
    <w:r>
      <w:fldChar w:fldCharType="separate"/>
    </w:r>
    <w:r>
      <w:rPr>
        <w:lang w:val="zh-CN"/>
      </w:rPr>
      <w:t>-</w:t>
    </w:r>
    <w:r>
      <w:t xml:space="preserve"> 4 -</w:t>
    </w:r>
    <w:r>
      <w:fldChar w:fldCharType="end"/>
    </w:r>
  </w:p>
  <w:p w14:paraId="43BBF7DA">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AD59AF"/>
    <w:multiLevelType w:val="singleLevel"/>
    <w:tmpl w:val="BFAD59AF"/>
    <w:lvl w:ilvl="0" w:tentative="0">
      <w:start w:val="1"/>
      <w:numFmt w:val="lowerRoman"/>
      <w:suff w:val="space"/>
      <w:lvlText w:val="%1."/>
      <w:lvlJc w:val="left"/>
      <w:pPr>
        <w:ind w:left="-840"/>
      </w:pPr>
    </w:lvl>
  </w:abstractNum>
  <w:abstractNum w:abstractNumId="1">
    <w:nsid w:val="0000000C"/>
    <w:multiLevelType w:val="singleLevel"/>
    <w:tmpl w:val="0000000C"/>
    <w:lvl w:ilvl="0" w:tentative="0">
      <w:start w:val="1"/>
      <w:numFmt w:val="chineseCounting"/>
      <w:suff w:val="nothing"/>
      <w:lvlText w:val="（%1）"/>
      <w:lvlJc w:val="left"/>
      <w:pPr>
        <w:ind w:left="0" w:firstLine="420"/>
      </w:pPr>
      <w:rPr>
        <w:rFonts w:hint="eastAsia"/>
      </w:rPr>
    </w:lvl>
  </w:abstractNum>
  <w:abstractNum w:abstractNumId="2">
    <w:nsid w:val="0000000D"/>
    <w:multiLevelType w:val="singleLevel"/>
    <w:tmpl w:val="0000000D"/>
    <w:lvl w:ilvl="0" w:tentative="0">
      <w:start w:val="1"/>
      <w:numFmt w:val="chineseCounting"/>
      <w:suff w:val="nothing"/>
      <w:lvlText w:val="（%1）"/>
      <w:lvlJc w:val="left"/>
      <w:pPr>
        <w:ind w:left="0" w:firstLine="420"/>
      </w:pPr>
      <w:rPr>
        <w:rFonts w:hint="eastAsia"/>
      </w:rPr>
    </w:lvl>
  </w:abstractNum>
  <w:abstractNum w:abstractNumId="3">
    <w:nsid w:val="0000000E"/>
    <w:multiLevelType w:val="singleLevel"/>
    <w:tmpl w:val="0000000E"/>
    <w:lvl w:ilvl="0" w:tentative="0">
      <w:start w:val="1"/>
      <w:numFmt w:val="decimal"/>
      <w:suff w:val="nothing"/>
      <w:lvlText w:val="%1．"/>
      <w:lvlJc w:val="left"/>
      <w:pPr>
        <w:ind w:left="0" w:firstLine="400"/>
      </w:pPr>
      <w:rPr>
        <w:rFonts w:hint="default"/>
      </w:rPr>
    </w:lvl>
  </w:abstractNum>
  <w:abstractNum w:abstractNumId="4">
    <w:nsid w:val="0000000F"/>
    <w:multiLevelType w:val="singleLevel"/>
    <w:tmpl w:val="0000000F"/>
    <w:lvl w:ilvl="0" w:tentative="0">
      <w:start w:val="1"/>
      <w:numFmt w:val="chineseCounting"/>
      <w:suff w:val="nothing"/>
      <w:lvlText w:val="（%1）"/>
      <w:lvlJc w:val="left"/>
      <w:pPr>
        <w:ind w:left="0" w:firstLine="420"/>
      </w:pPr>
      <w:rPr>
        <w:rFonts w:hint="eastAsia"/>
      </w:rPr>
    </w:lvl>
  </w:abstractNum>
  <w:abstractNum w:abstractNumId="5">
    <w:nsid w:val="00000010"/>
    <w:multiLevelType w:val="singleLevel"/>
    <w:tmpl w:val="00000010"/>
    <w:lvl w:ilvl="0" w:tentative="0">
      <w:start w:val="1"/>
      <w:numFmt w:val="chineseCounting"/>
      <w:suff w:val="nothing"/>
      <w:lvlText w:val="（%1）"/>
      <w:lvlJc w:val="left"/>
      <w:pPr>
        <w:ind w:left="0" w:firstLine="420"/>
      </w:pPr>
      <w:rPr>
        <w:rFonts w:hint="eastAsia"/>
      </w:rPr>
    </w:lvl>
  </w:abstractNum>
  <w:abstractNum w:abstractNumId="6">
    <w:nsid w:val="00000011"/>
    <w:multiLevelType w:val="singleLevel"/>
    <w:tmpl w:val="00000011"/>
    <w:lvl w:ilvl="0" w:tentative="0">
      <w:start w:val="1"/>
      <w:numFmt w:val="chineseCounting"/>
      <w:suff w:val="nothing"/>
      <w:lvlText w:val="（%1）"/>
      <w:lvlJc w:val="left"/>
      <w:pPr>
        <w:ind w:left="0" w:firstLine="420"/>
      </w:pPr>
      <w:rPr>
        <w:rFonts w:hint="eastAsia"/>
      </w:rPr>
    </w:lvl>
  </w:abstractNum>
  <w:abstractNum w:abstractNumId="7">
    <w:nsid w:val="16185A9D"/>
    <w:multiLevelType w:val="multilevel"/>
    <w:tmpl w:val="16185A9D"/>
    <w:lvl w:ilvl="0" w:tentative="0">
      <w:start w:val="1"/>
      <w:numFmt w:val="lowerLetter"/>
      <w:lvlText w:val="%1)"/>
      <w:lvlJc w:val="left"/>
      <w:pPr>
        <w:ind w:left="1063" w:hanging="420"/>
      </w:p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8">
    <w:nsid w:val="208C6B6E"/>
    <w:multiLevelType w:val="singleLevel"/>
    <w:tmpl w:val="208C6B6E"/>
    <w:lvl w:ilvl="0" w:tentative="0">
      <w:start w:val="1"/>
      <w:numFmt w:val="lowerRoman"/>
      <w:suff w:val="space"/>
      <w:lvlText w:val="%1."/>
      <w:lvlJc w:val="left"/>
    </w:lvl>
  </w:abstractNum>
  <w:abstractNum w:abstractNumId="9">
    <w:nsid w:val="21CB24DC"/>
    <w:multiLevelType w:val="multilevel"/>
    <w:tmpl w:val="21CB24DC"/>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0">
    <w:nsid w:val="220D01D1"/>
    <w:multiLevelType w:val="multilevel"/>
    <w:tmpl w:val="220D01D1"/>
    <w:lvl w:ilvl="0" w:tentative="0">
      <w:start w:val="1"/>
      <w:numFmt w:val="decimal"/>
      <w:lvlText w:val="%1."/>
      <w:lvlJc w:val="left"/>
      <w:pPr>
        <w:ind w:left="1060" w:hanging="420"/>
      </w:pPr>
    </w:lvl>
    <w:lvl w:ilvl="1" w:tentative="0">
      <w:start w:val="1"/>
      <w:numFmt w:val="decimal"/>
      <w:lvlText w:val="%2）"/>
      <w:lvlJc w:val="left"/>
      <w:pPr>
        <w:ind w:left="1780" w:hanging="720"/>
      </w:pPr>
      <w:rPr>
        <w:rFonts w:hint="default"/>
      </w:r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1">
    <w:nsid w:val="3DDE2925"/>
    <w:multiLevelType w:val="multilevel"/>
    <w:tmpl w:val="3DDE2925"/>
    <w:lvl w:ilvl="0" w:tentative="0">
      <w:start w:val="1"/>
      <w:numFmt w:val="lowerRoman"/>
      <w:lvlText w:val="%1."/>
      <w:lvlJc w:val="right"/>
      <w:pPr>
        <w:ind w:left="3900" w:hanging="420"/>
      </w:pPr>
    </w:lvl>
    <w:lvl w:ilvl="1" w:tentative="0">
      <w:start w:val="1"/>
      <w:numFmt w:val="lowerRoman"/>
      <w:lvlText w:val="%2."/>
      <w:lvlJc w:val="right"/>
      <w:pPr>
        <w:ind w:left="4320" w:hanging="420"/>
      </w:pPr>
    </w:lvl>
    <w:lvl w:ilvl="2" w:tentative="0">
      <w:start w:val="1"/>
      <w:numFmt w:val="decimal"/>
      <w:lvlText w:val="（%3）"/>
      <w:lvlJc w:val="left"/>
      <w:pPr>
        <w:ind w:left="5400" w:hanging="1080"/>
      </w:pPr>
      <w:rPr>
        <w:rFonts w:hint="default"/>
      </w:rPr>
    </w:lvl>
    <w:lvl w:ilvl="3" w:tentative="0">
      <w:start w:val="1"/>
      <w:numFmt w:val="decimal"/>
      <w:lvlText w:val="%4."/>
      <w:lvlJc w:val="left"/>
      <w:pPr>
        <w:ind w:left="5160" w:hanging="420"/>
      </w:pPr>
    </w:lvl>
    <w:lvl w:ilvl="4" w:tentative="0">
      <w:start w:val="1"/>
      <w:numFmt w:val="lowerLetter"/>
      <w:lvlText w:val="%5)"/>
      <w:lvlJc w:val="left"/>
      <w:pPr>
        <w:ind w:left="5580" w:hanging="420"/>
      </w:pPr>
    </w:lvl>
    <w:lvl w:ilvl="5" w:tentative="0">
      <w:start w:val="1"/>
      <w:numFmt w:val="lowerRoman"/>
      <w:lvlText w:val="%6."/>
      <w:lvlJc w:val="right"/>
      <w:pPr>
        <w:ind w:left="6000" w:hanging="420"/>
      </w:pPr>
    </w:lvl>
    <w:lvl w:ilvl="6" w:tentative="0">
      <w:start w:val="1"/>
      <w:numFmt w:val="decimal"/>
      <w:lvlText w:val="%7."/>
      <w:lvlJc w:val="left"/>
      <w:pPr>
        <w:ind w:left="6420" w:hanging="420"/>
      </w:pPr>
    </w:lvl>
    <w:lvl w:ilvl="7" w:tentative="0">
      <w:start w:val="1"/>
      <w:numFmt w:val="lowerLetter"/>
      <w:lvlText w:val="%8)"/>
      <w:lvlJc w:val="left"/>
      <w:pPr>
        <w:ind w:left="6840" w:hanging="420"/>
      </w:pPr>
    </w:lvl>
    <w:lvl w:ilvl="8" w:tentative="0">
      <w:start w:val="1"/>
      <w:numFmt w:val="lowerRoman"/>
      <w:lvlText w:val="%9."/>
      <w:lvlJc w:val="right"/>
      <w:pPr>
        <w:ind w:left="7260" w:hanging="420"/>
      </w:pPr>
    </w:lvl>
  </w:abstractNum>
  <w:abstractNum w:abstractNumId="12">
    <w:nsid w:val="50983044"/>
    <w:multiLevelType w:val="multilevel"/>
    <w:tmpl w:val="50983044"/>
    <w:lvl w:ilvl="0" w:tentative="0">
      <w:start w:val="1"/>
      <w:numFmt w:val="decimal"/>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3">
    <w:nsid w:val="62313FB2"/>
    <w:multiLevelType w:val="multilevel"/>
    <w:tmpl w:val="62313FB2"/>
    <w:lvl w:ilvl="0" w:tentative="0">
      <w:start w:val="1"/>
      <w:numFmt w:val="lowerRoman"/>
      <w:lvlText w:val="%1."/>
      <w:lvlJc w:val="right"/>
      <w:pPr>
        <w:ind w:left="3900" w:hanging="420"/>
      </w:pPr>
    </w:lvl>
    <w:lvl w:ilvl="1" w:tentative="0">
      <w:start w:val="1"/>
      <w:numFmt w:val="lowerRoman"/>
      <w:lvlText w:val="%2."/>
      <w:lvlJc w:val="right"/>
      <w:pPr>
        <w:ind w:left="4320" w:hanging="420"/>
      </w:pPr>
    </w:lvl>
    <w:lvl w:ilvl="2" w:tentative="0">
      <w:start w:val="1"/>
      <w:numFmt w:val="decimal"/>
      <w:lvlText w:val="（%3）"/>
      <w:lvlJc w:val="left"/>
      <w:pPr>
        <w:ind w:left="5400" w:hanging="1080"/>
      </w:pPr>
      <w:rPr>
        <w:rFonts w:hint="default"/>
      </w:rPr>
    </w:lvl>
    <w:lvl w:ilvl="3" w:tentative="0">
      <w:start w:val="1"/>
      <w:numFmt w:val="decimal"/>
      <w:lvlText w:val="%4."/>
      <w:lvlJc w:val="left"/>
      <w:pPr>
        <w:ind w:left="5160" w:hanging="420"/>
      </w:pPr>
    </w:lvl>
    <w:lvl w:ilvl="4" w:tentative="0">
      <w:start w:val="1"/>
      <w:numFmt w:val="lowerLetter"/>
      <w:lvlText w:val="%5)"/>
      <w:lvlJc w:val="left"/>
      <w:pPr>
        <w:ind w:left="5580" w:hanging="420"/>
      </w:pPr>
    </w:lvl>
    <w:lvl w:ilvl="5" w:tentative="0">
      <w:start w:val="1"/>
      <w:numFmt w:val="lowerRoman"/>
      <w:lvlText w:val="%6."/>
      <w:lvlJc w:val="right"/>
      <w:pPr>
        <w:ind w:left="6000" w:hanging="420"/>
      </w:pPr>
    </w:lvl>
    <w:lvl w:ilvl="6" w:tentative="0">
      <w:start w:val="1"/>
      <w:numFmt w:val="decimal"/>
      <w:lvlText w:val="%7."/>
      <w:lvlJc w:val="left"/>
      <w:pPr>
        <w:ind w:left="6420" w:hanging="420"/>
      </w:pPr>
    </w:lvl>
    <w:lvl w:ilvl="7" w:tentative="0">
      <w:start w:val="1"/>
      <w:numFmt w:val="lowerLetter"/>
      <w:lvlText w:val="%8)"/>
      <w:lvlJc w:val="left"/>
      <w:pPr>
        <w:ind w:left="6840" w:hanging="420"/>
      </w:pPr>
    </w:lvl>
    <w:lvl w:ilvl="8" w:tentative="0">
      <w:start w:val="1"/>
      <w:numFmt w:val="lowerRoman"/>
      <w:lvlText w:val="%9."/>
      <w:lvlJc w:val="right"/>
      <w:pPr>
        <w:ind w:left="7260" w:hanging="42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9"/>
  </w:num>
  <w:num w:numId="8">
    <w:abstractNumId w:val="10"/>
  </w:num>
  <w:num w:numId="9">
    <w:abstractNumId w:val="12"/>
  </w:num>
  <w:num w:numId="10">
    <w:abstractNumId w:val="7"/>
  </w:num>
  <w:num w:numId="11">
    <w:abstractNumId w:val="0"/>
  </w:num>
  <w:num w:numId="12">
    <w:abstractNumId w:val="13"/>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FmMjMyMmQ1NjMyMTBjNjZkZDdlZTliNzAyODU3ZTcifQ=="/>
  </w:docVars>
  <w:rsids>
    <w:rsidRoot w:val="00EA0C04"/>
    <w:rsid w:val="00037167"/>
    <w:rsid w:val="000400A5"/>
    <w:rsid w:val="000718AF"/>
    <w:rsid w:val="000762FD"/>
    <w:rsid w:val="00077582"/>
    <w:rsid w:val="00085AD1"/>
    <w:rsid w:val="000A20A5"/>
    <w:rsid w:val="000C4F81"/>
    <w:rsid w:val="00112989"/>
    <w:rsid w:val="00135D9A"/>
    <w:rsid w:val="00173DE8"/>
    <w:rsid w:val="00192E01"/>
    <w:rsid w:val="001B15BE"/>
    <w:rsid w:val="001C5327"/>
    <w:rsid w:val="001C5E59"/>
    <w:rsid w:val="001D44AF"/>
    <w:rsid w:val="001E21DD"/>
    <w:rsid w:val="001E751B"/>
    <w:rsid w:val="002051D9"/>
    <w:rsid w:val="00273B63"/>
    <w:rsid w:val="00291351"/>
    <w:rsid w:val="00345D40"/>
    <w:rsid w:val="00377408"/>
    <w:rsid w:val="00395B82"/>
    <w:rsid w:val="003C0DCC"/>
    <w:rsid w:val="003C16EE"/>
    <w:rsid w:val="003D458D"/>
    <w:rsid w:val="00405BC3"/>
    <w:rsid w:val="00407EAC"/>
    <w:rsid w:val="00440A8C"/>
    <w:rsid w:val="00447749"/>
    <w:rsid w:val="00480EA3"/>
    <w:rsid w:val="004A003C"/>
    <w:rsid w:val="004C434F"/>
    <w:rsid w:val="004C5E89"/>
    <w:rsid w:val="004D4778"/>
    <w:rsid w:val="004F3D36"/>
    <w:rsid w:val="005327F2"/>
    <w:rsid w:val="00556573"/>
    <w:rsid w:val="005852FC"/>
    <w:rsid w:val="005A3F94"/>
    <w:rsid w:val="005B64EA"/>
    <w:rsid w:val="005E7A74"/>
    <w:rsid w:val="00645F49"/>
    <w:rsid w:val="00646A68"/>
    <w:rsid w:val="00686B61"/>
    <w:rsid w:val="006A6CF2"/>
    <w:rsid w:val="006E6BB8"/>
    <w:rsid w:val="007C7284"/>
    <w:rsid w:val="008123D6"/>
    <w:rsid w:val="00862D1E"/>
    <w:rsid w:val="008663EE"/>
    <w:rsid w:val="00887ED0"/>
    <w:rsid w:val="008C06B0"/>
    <w:rsid w:val="008D4803"/>
    <w:rsid w:val="008D541A"/>
    <w:rsid w:val="008E3A47"/>
    <w:rsid w:val="00910BE3"/>
    <w:rsid w:val="0093743A"/>
    <w:rsid w:val="0097074E"/>
    <w:rsid w:val="00976C0E"/>
    <w:rsid w:val="00997739"/>
    <w:rsid w:val="009A249F"/>
    <w:rsid w:val="009C4D18"/>
    <w:rsid w:val="00A34143"/>
    <w:rsid w:val="00A46A09"/>
    <w:rsid w:val="00A775ED"/>
    <w:rsid w:val="00A778DB"/>
    <w:rsid w:val="00A80A3C"/>
    <w:rsid w:val="00AA48EC"/>
    <w:rsid w:val="00B275D8"/>
    <w:rsid w:val="00B32933"/>
    <w:rsid w:val="00B40036"/>
    <w:rsid w:val="00B436CC"/>
    <w:rsid w:val="00B635B7"/>
    <w:rsid w:val="00B876AC"/>
    <w:rsid w:val="00BC584D"/>
    <w:rsid w:val="00BD3047"/>
    <w:rsid w:val="00C364CC"/>
    <w:rsid w:val="00C577FC"/>
    <w:rsid w:val="00C720B4"/>
    <w:rsid w:val="00C904D7"/>
    <w:rsid w:val="00CA7AD5"/>
    <w:rsid w:val="00CD4522"/>
    <w:rsid w:val="00D02219"/>
    <w:rsid w:val="00D77EBB"/>
    <w:rsid w:val="00D82FDF"/>
    <w:rsid w:val="00DE6779"/>
    <w:rsid w:val="00E02738"/>
    <w:rsid w:val="00E06DC7"/>
    <w:rsid w:val="00E13DC6"/>
    <w:rsid w:val="00E25985"/>
    <w:rsid w:val="00E3476B"/>
    <w:rsid w:val="00E63824"/>
    <w:rsid w:val="00E70B9F"/>
    <w:rsid w:val="00EA0C04"/>
    <w:rsid w:val="00EF3B5C"/>
    <w:rsid w:val="00EF6E78"/>
    <w:rsid w:val="00F06F16"/>
    <w:rsid w:val="00F353D7"/>
    <w:rsid w:val="00F379F0"/>
    <w:rsid w:val="00F52416"/>
    <w:rsid w:val="00F677F9"/>
    <w:rsid w:val="00F90368"/>
    <w:rsid w:val="00F903FC"/>
    <w:rsid w:val="00F97903"/>
    <w:rsid w:val="00FA764B"/>
    <w:rsid w:val="00FB0A65"/>
    <w:rsid w:val="00FD6D72"/>
    <w:rsid w:val="00FE4643"/>
    <w:rsid w:val="00FF1823"/>
    <w:rsid w:val="00FF6018"/>
    <w:rsid w:val="035B2C83"/>
    <w:rsid w:val="054C69F2"/>
    <w:rsid w:val="07B3778B"/>
    <w:rsid w:val="08970242"/>
    <w:rsid w:val="0EDA3FB6"/>
    <w:rsid w:val="0FA12AB9"/>
    <w:rsid w:val="15214D42"/>
    <w:rsid w:val="155A1DE1"/>
    <w:rsid w:val="1AD339E7"/>
    <w:rsid w:val="1B672B19"/>
    <w:rsid w:val="1BF17EDB"/>
    <w:rsid w:val="1C5C21AF"/>
    <w:rsid w:val="25985103"/>
    <w:rsid w:val="25ABA6AB"/>
    <w:rsid w:val="35E07105"/>
    <w:rsid w:val="37C472D4"/>
    <w:rsid w:val="3F4B763D"/>
    <w:rsid w:val="47892309"/>
    <w:rsid w:val="489A27BC"/>
    <w:rsid w:val="4B0634F7"/>
    <w:rsid w:val="4D01398A"/>
    <w:rsid w:val="4DFD0F9E"/>
    <w:rsid w:val="4F530463"/>
    <w:rsid w:val="4FD67243"/>
    <w:rsid w:val="57970B69"/>
    <w:rsid w:val="57FFEB9C"/>
    <w:rsid w:val="5D16425B"/>
    <w:rsid w:val="7445534B"/>
    <w:rsid w:val="75272C5B"/>
    <w:rsid w:val="77FF387B"/>
    <w:rsid w:val="79780568"/>
    <w:rsid w:val="7A2C3518"/>
    <w:rsid w:val="7CAC33A2"/>
    <w:rsid w:val="7F93056C"/>
    <w:rsid w:val="AEBFEEFE"/>
    <w:rsid w:val="C5FFBCD3"/>
    <w:rsid w:val="D67F955A"/>
    <w:rsid w:val="EFEF0032"/>
    <w:rsid w:val="F5F9767E"/>
    <w:rsid w:val="FFCD112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Footer Char"/>
    <w:basedOn w:val="8"/>
    <w:link w:val="4"/>
    <w:qFormat/>
    <w:uiPriority w:val="99"/>
    <w:rPr>
      <w:rFonts w:ascii="Times New Roman" w:hAnsi="Times New Roman" w:eastAsia="宋体" w:cs="Times New Roman"/>
      <w:sz w:val="18"/>
      <w:szCs w:val="18"/>
    </w:rPr>
  </w:style>
  <w:style w:type="character" w:customStyle="1" w:styleId="11">
    <w:name w:val="Balloon Text Char"/>
    <w:basedOn w:val="8"/>
    <w:link w:val="3"/>
    <w:semiHidden/>
    <w:qFormat/>
    <w:uiPriority w:val="99"/>
    <w:rPr>
      <w:rFonts w:ascii="Times New Roman" w:hAnsi="Times New Roman" w:eastAsia="宋体" w:cs="Times New Roman"/>
      <w:sz w:val="18"/>
      <w:szCs w:val="18"/>
    </w:rPr>
  </w:style>
  <w:style w:type="character" w:customStyle="1" w:styleId="12">
    <w:name w:val="Header Char"/>
    <w:basedOn w:val="8"/>
    <w:link w:val="5"/>
    <w:qFormat/>
    <w:uiPriority w:val="99"/>
    <w:rPr>
      <w:rFonts w:ascii="Times New Roman" w:hAnsi="Times New Roman" w:eastAsia="宋体" w:cs="Times New Roman"/>
      <w:sz w:val="18"/>
      <w:szCs w:val="18"/>
    </w:rPr>
  </w:style>
  <w:style w:type="paragraph" w:customStyle="1" w:styleId="13">
    <w:name w:val="修订1"/>
    <w:hidden/>
    <w:semiHidden/>
    <w:qFormat/>
    <w:uiPriority w:val="99"/>
    <w:rPr>
      <w:rFonts w:ascii="Times New Roman" w:hAnsi="Times New Roman" w:eastAsia="宋体" w:cs="Times New Roman"/>
      <w:kern w:val="2"/>
      <w:sz w:val="21"/>
      <w:szCs w:val="24"/>
      <w:lang w:val="en-US" w:eastAsia="zh-CN" w:bidi="ar-SA"/>
    </w:rPr>
  </w:style>
  <w:style w:type="paragraph" w:styleId="14">
    <w:name w:val="List Paragraph"/>
    <w:basedOn w:val="1"/>
    <w:qFormat/>
    <w:uiPriority w:val="34"/>
    <w:pPr>
      <w:ind w:firstLine="420" w:firstLineChars="200"/>
    </w:pPr>
  </w:style>
  <w:style w:type="character" w:customStyle="1" w:styleId="15">
    <w:name w:val="Comment Text Char"/>
    <w:basedOn w:val="8"/>
    <w:link w:val="2"/>
    <w:semiHidden/>
    <w:qFormat/>
    <w:uiPriority w:val="99"/>
    <w:rPr>
      <w:rFonts w:ascii="Times New Roman" w:hAnsi="Times New Roman" w:eastAsia="宋体" w:cs="Times New Roman"/>
      <w:szCs w:val="24"/>
    </w:rPr>
  </w:style>
  <w:style w:type="character" w:customStyle="1" w:styleId="16">
    <w:name w:val="Comment Subject Char"/>
    <w:basedOn w:val="15"/>
    <w:link w:val="6"/>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中山大学</Company>
  <Pages>12</Pages>
  <Words>4358</Words>
  <Characters>4756</Characters>
  <Lines>38</Lines>
  <Paragraphs>10</Paragraphs>
  <TotalTime>54</TotalTime>
  <ScaleCrop>false</ScaleCrop>
  <LinksUpToDate>false</LinksUpToDate>
  <CharactersWithSpaces>4858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2023-04-10T08:02:00Z</dcterms:created>
  <dc:creator>LITONG</dc:creator>
  <cp:lastModifiedBy>sse</cp:lastModifiedBy>
  <cp:lastPrinted>2023-04-20T06:39:00Z</cp:lastPrinted>
  <dcterms:modified xsi:type="dcterms:W3CDTF">2024-09-04T10:39:47Z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675A8FF48847466A8928E79FC1BFF069</vt:lpwstr>
  </property>
</Properties>
</file>